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60" w:rsidRDefault="00E87860" w:rsidP="00E87860">
      <w:r>
        <w:rPr>
          <w:noProof/>
          <w:lang w:eastAsia="ru-RU"/>
        </w:rPr>
        <w:drawing>
          <wp:inline distT="0" distB="0" distL="0" distR="0" wp14:anchorId="4EC1DEE7" wp14:editId="7E912F4A">
            <wp:extent cx="1762125" cy="1181463"/>
            <wp:effectExtent l="0" t="0" r="0" b="0"/>
            <wp:docPr id="1" name="Рисунок 1" descr="Z:\Логотипы НАПФ\Логотип\фирменный стиль\NEW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Логотипы НАПФ\Логотип\фирменный стиль\NEW_1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996" cy="1182717"/>
                    </a:xfrm>
                    <a:prstGeom prst="rect">
                      <a:avLst/>
                    </a:prstGeom>
                    <a:noFill/>
                    <a:ln>
                      <a:noFill/>
                    </a:ln>
                  </pic:spPr>
                </pic:pic>
              </a:graphicData>
            </a:graphic>
          </wp:inline>
        </w:drawing>
      </w:r>
      <w:r>
        <w:t xml:space="preserve">                                                                             </w:t>
      </w:r>
      <w:r>
        <w:rPr>
          <w:noProof/>
          <w:lang w:eastAsia="ru-RU"/>
        </w:rPr>
        <w:drawing>
          <wp:inline distT="0" distB="0" distL="0" distR="0" wp14:anchorId="22D025E4" wp14:editId="264A66FC">
            <wp:extent cx="1717240" cy="1409700"/>
            <wp:effectExtent l="0" t="0" r="0" b="0"/>
            <wp:docPr id="2" name="Рисунок 2" descr="Z:\Журнал Пенсионное обозрение\Логотип журнала\Большие размеры - не трогать\Pen.obozrenie_п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Журнал Пенсионное обозрение\Логотип журнала\Большие размеры - не трогать\Pen.obozrenie_пр.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251" cy="1413813"/>
                    </a:xfrm>
                    <a:prstGeom prst="rect">
                      <a:avLst/>
                    </a:prstGeom>
                    <a:noFill/>
                    <a:ln>
                      <a:noFill/>
                    </a:ln>
                  </pic:spPr>
                </pic:pic>
              </a:graphicData>
            </a:graphic>
          </wp:inline>
        </w:drawing>
      </w:r>
    </w:p>
    <w:p w:rsidR="00E87860" w:rsidRDefault="00E87860" w:rsidP="00E87860">
      <w:pPr>
        <w:jc w:val="center"/>
      </w:pPr>
    </w:p>
    <w:p w:rsidR="00E87860" w:rsidRDefault="00E87860" w:rsidP="00E87860">
      <w:pPr>
        <w:jc w:val="center"/>
      </w:pPr>
    </w:p>
    <w:p w:rsidR="00E87860" w:rsidRDefault="00E87860" w:rsidP="00E87860">
      <w:pPr>
        <w:jc w:val="center"/>
      </w:pPr>
    </w:p>
    <w:p w:rsidR="00E87860" w:rsidRDefault="00E87860" w:rsidP="00E87860">
      <w:pPr>
        <w:jc w:val="center"/>
      </w:pPr>
    </w:p>
    <w:p w:rsidR="00E87860" w:rsidRDefault="00E87860" w:rsidP="00E87860">
      <w:pPr>
        <w:jc w:val="center"/>
      </w:pPr>
    </w:p>
    <w:p w:rsidR="00E87860" w:rsidRDefault="00E87860" w:rsidP="00E87860">
      <w:pPr>
        <w:jc w:val="center"/>
        <w:rPr>
          <w:rFonts w:ascii="Times New Roman" w:hAnsi="Times New Roman" w:cs="Times New Roman"/>
          <w:sz w:val="144"/>
          <w:szCs w:val="144"/>
        </w:rPr>
      </w:pPr>
      <w:r w:rsidRPr="00943398">
        <w:rPr>
          <w:rFonts w:ascii="Times New Roman" w:hAnsi="Times New Roman" w:cs="Times New Roman"/>
          <w:sz w:val="144"/>
          <w:szCs w:val="144"/>
        </w:rPr>
        <w:t>Я выбираю НПФ</w:t>
      </w:r>
    </w:p>
    <w:p w:rsidR="00E87860" w:rsidRDefault="00E87860" w:rsidP="00E87860">
      <w:pPr>
        <w:jc w:val="center"/>
        <w:rPr>
          <w:rFonts w:ascii="Times New Roman" w:hAnsi="Times New Roman" w:cs="Times New Roman"/>
          <w:sz w:val="40"/>
          <w:szCs w:val="40"/>
        </w:rPr>
      </w:pPr>
    </w:p>
    <w:p w:rsidR="00E87860" w:rsidRDefault="00E87860" w:rsidP="00E87860">
      <w:pPr>
        <w:jc w:val="center"/>
        <w:rPr>
          <w:rFonts w:ascii="Times New Roman" w:hAnsi="Times New Roman" w:cs="Times New Roman"/>
          <w:sz w:val="40"/>
          <w:szCs w:val="40"/>
        </w:rPr>
      </w:pPr>
    </w:p>
    <w:p w:rsidR="00E87860" w:rsidRDefault="00E87860" w:rsidP="00E87860">
      <w:pPr>
        <w:jc w:val="center"/>
        <w:rPr>
          <w:rFonts w:ascii="Times New Roman" w:hAnsi="Times New Roman" w:cs="Times New Roman"/>
          <w:sz w:val="40"/>
          <w:szCs w:val="40"/>
        </w:rPr>
      </w:pPr>
      <w:r>
        <w:rPr>
          <w:rFonts w:ascii="Times New Roman" w:hAnsi="Times New Roman" w:cs="Times New Roman"/>
          <w:sz w:val="40"/>
          <w:szCs w:val="40"/>
        </w:rPr>
        <w:t>Сборник статей</w:t>
      </w:r>
    </w:p>
    <w:p w:rsidR="00E87860" w:rsidRDefault="00E87860" w:rsidP="00E87860">
      <w:pPr>
        <w:jc w:val="center"/>
        <w:rPr>
          <w:rFonts w:ascii="Times New Roman" w:hAnsi="Times New Roman" w:cs="Times New Roman"/>
          <w:sz w:val="40"/>
          <w:szCs w:val="40"/>
        </w:rPr>
      </w:pPr>
      <w:r>
        <w:rPr>
          <w:rFonts w:ascii="Times New Roman" w:hAnsi="Times New Roman" w:cs="Times New Roman"/>
          <w:sz w:val="40"/>
          <w:szCs w:val="40"/>
        </w:rPr>
        <w:t>«Позаботьтесь о своем будущем»</w:t>
      </w:r>
    </w:p>
    <w:p w:rsidR="00E87860" w:rsidRDefault="00E87860" w:rsidP="00E87860">
      <w:pPr>
        <w:jc w:val="center"/>
        <w:rPr>
          <w:rFonts w:ascii="Times New Roman" w:hAnsi="Times New Roman" w:cs="Times New Roman"/>
          <w:sz w:val="40"/>
          <w:szCs w:val="40"/>
        </w:rPr>
      </w:pPr>
    </w:p>
    <w:p w:rsidR="00E87860" w:rsidRPr="00943398" w:rsidRDefault="00E87860" w:rsidP="00E87860">
      <w:pPr>
        <w:jc w:val="center"/>
        <w:rPr>
          <w:rFonts w:ascii="Times New Roman" w:hAnsi="Times New Roman" w:cs="Times New Roman"/>
          <w:sz w:val="32"/>
          <w:szCs w:val="32"/>
        </w:rPr>
      </w:pPr>
    </w:p>
    <w:p w:rsidR="00E87860" w:rsidRPr="00943398" w:rsidRDefault="00E87860" w:rsidP="00E87860">
      <w:pPr>
        <w:jc w:val="center"/>
        <w:rPr>
          <w:rFonts w:ascii="Times New Roman" w:hAnsi="Times New Roman" w:cs="Times New Roman"/>
          <w:sz w:val="32"/>
          <w:szCs w:val="32"/>
        </w:rPr>
      </w:pPr>
      <w:r w:rsidRPr="00943398">
        <w:rPr>
          <w:rFonts w:ascii="Times New Roman" w:hAnsi="Times New Roman" w:cs="Times New Roman"/>
          <w:sz w:val="32"/>
          <w:szCs w:val="32"/>
        </w:rPr>
        <w:t>Москва</w:t>
      </w:r>
      <w:r>
        <w:rPr>
          <w:rFonts w:ascii="Times New Roman" w:hAnsi="Times New Roman" w:cs="Times New Roman"/>
          <w:sz w:val="32"/>
          <w:szCs w:val="32"/>
        </w:rPr>
        <w:br/>
      </w:r>
      <w:r w:rsidRPr="00943398">
        <w:rPr>
          <w:rFonts w:ascii="Times New Roman" w:hAnsi="Times New Roman" w:cs="Times New Roman"/>
          <w:sz w:val="32"/>
          <w:szCs w:val="32"/>
        </w:rPr>
        <w:t>201</w:t>
      </w:r>
      <w:r w:rsidR="00BF3D3F">
        <w:rPr>
          <w:rFonts w:ascii="Times New Roman" w:hAnsi="Times New Roman" w:cs="Times New Roman"/>
          <w:sz w:val="32"/>
          <w:szCs w:val="32"/>
        </w:rPr>
        <w:t>3</w:t>
      </w:r>
      <w:r w:rsidRPr="00943398">
        <w:rPr>
          <w:rFonts w:ascii="Times New Roman" w:hAnsi="Times New Roman" w:cs="Times New Roman"/>
          <w:sz w:val="32"/>
          <w:szCs w:val="32"/>
        </w:rPr>
        <w:t xml:space="preserve"> г.</w:t>
      </w:r>
    </w:p>
    <w:p w:rsidR="00BF3D3F" w:rsidRDefault="00BF3D3F" w:rsidP="00E87860">
      <w:pPr>
        <w:jc w:val="center"/>
        <w:rPr>
          <w:rFonts w:ascii="Times New Roman" w:hAnsi="Times New Roman" w:cs="Times New Roman"/>
          <w:b/>
          <w:sz w:val="32"/>
          <w:szCs w:val="32"/>
        </w:rPr>
      </w:pPr>
      <w:r w:rsidRPr="00BF3D3F">
        <w:rPr>
          <w:rFonts w:ascii="Times New Roman" w:hAnsi="Times New Roman" w:cs="Times New Roman"/>
          <w:b/>
          <w:sz w:val="32"/>
          <w:szCs w:val="32"/>
        </w:rPr>
        <w:lastRenderedPageBreak/>
        <w:t>Предисловие</w:t>
      </w:r>
    </w:p>
    <w:p w:rsidR="00BF3D3F" w:rsidRPr="00BF3D3F" w:rsidRDefault="00BF3D3F" w:rsidP="00E87860">
      <w:pPr>
        <w:jc w:val="center"/>
        <w:rPr>
          <w:rFonts w:ascii="Times New Roman" w:hAnsi="Times New Roman" w:cs="Times New Roman"/>
          <w:b/>
          <w:sz w:val="32"/>
          <w:szCs w:val="32"/>
        </w:rPr>
      </w:pPr>
    </w:p>
    <w:p w:rsidR="00BF3D3F" w:rsidRDefault="00BF3D3F" w:rsidP="00BF3D3F">
      <w:pPr>
        <w:spacing w:line="360" w:lineRule="auto"/>
        <w:jc w:val="both"/>
        <w:rPr>
          <w:rFonts w:ascii="Times New Roman" w:hAnsi="Times New Roman" w:cs="Times New Roman"/>
          <w:sz w:val="24"/>
          <w:szCs w:val="24"/>
        </w:rPr>
      </w:pPr>
      <w:r>
        <w:rPr>
          <w:rFonts w:ascii="Times New Roman" w:hAnsi="Times New Roman" w:cs="Times New Roman"/>
          <w:sz w:val="24"/>
          <w:szCs w:val="24"/>
        </w:rPr>
        <w:t>23 октяб</w:t>
      </w:r>
      <w:r w:rsidRPr="00447FB6">
        <w:rPr>
          <w:rFonts w:ascii="Times New Roman" w:hAnsi="Times New Roman" w:cs="Times New Roman"/>
          <w:sz w:val="24"/>
          <w:szCs w:val="24"/>
        </w:rPr>
        <w:t xml:space="preserve">ря 2013 года редакция журнала «Пенсионное обозрение» провела </w:t>
      </w:r>
      <w:proofErr w:type="spellStart"/>
      <w:r w:rsidRPr="00447FB6">
        <w:rPr>
          <w:rFonts w:ascii="Times New Roman" w:hAnsi="Times New Roman" w:cs="Times New Roman"/>
          <w:sz w:val="24"/>
          <w:szCs w:val="24"/>
        </w:rPr>
        <w:t>вебинар</w:t>
      </w:r>
      <w:proofErr w:type="spellEnd"/>
      <w:r w:rsidRPr="00447FB6">
        <w:rPr>
          <w:rFonts w:ascii="Times New Roman" w:hAnsi="Times New Roman" w:cs="Times New Roman"/>
          <w:sz w:val="24"/>
          <w:szCs w:val="24"/>
        </w:rPr>
        <w:t xml:space="preserve"> «Сравнительно</w:t>
      </w:r>
      <w:r>
        <w:rPr>
          <w:rFonts w:ascii="Times New Roman" w:hAnsi="Times New Roman" w:cs="Times New Roman"/>
          <w:sz w:val="24"/>
          <w:szCs w:val="24"/>
        </w:rPr>
        <w:t xml:space="preserve">е оценивание деятельности НПФ». </w:t>
      </w:r>
    </w:p>
    <w:p w:rsidR="00BF3D3F" w:rsidRPr="00BF3D3F" w:rsidRDefault="00831F12" w:rsidP="00BF3D3F">
      <w:pPr>
        <w:spacing w:line="360" w:lineRule="auto"/>
        <w:jc w:val="both"/>
        <w:rPr>
          <w:rFonts w:ascii="Times New Roman" w:hAnsi="Times New Roman" w:cs="Times New Roman"/>
          <w:sz w:val="24"/>
          <w:szCs w:val="24"/>
        </w:rPr>
      </w:pPr>
      <w:hyperlink r:id="rId10" w:history="1">
        <w:r w:rsidR="00BF3D3F" w:rsidRPr="00BF3D3F">
          <w:rPr>
            <w:rStyle w:val="afc"/>
            <w:rFonts w:ascii="Times New Roman" w:hAnsi="Times New Roman" w:cs="Times New Roman"/>
            <w:sz w:val="24"/>
            <w:szCs w:val="24"/>
          </w:rPr>
          <w:t>http://www.pensionobserver.ru/brifingi/video</w:t>
        </w:r>
      </w:hyperlink>
      <w:r w:rsidR="00BF3D3F" w:rsidRPr="00BF3D3F">
        <w:rPr>
          <w:rFonts w:ascii="Times New Roman" w:hAnsi="Times New Roman" w:cs="Times New Roman"/>
          <w:sz w:val="24"/>
          <w:szCs w:val="24"/>
        </w:rPr>
        <w:t>.</w:t>
      </w:r>
    </w:p>
    <w:p w:rsidR="00BF3D3F" w:rsidRPr="00BF3D3F" w:rsidRDefault="00831F12" w:rsidP="00BF3D3F">
      <w:pPr>
        <w:spacing w:line="360" w:lineRule="auto"/>
        <w:jc w:val="both"/>
        <w:rPr>
          <w:rFonts w:ascii="Times New Roman" w:hAnsi="Times New Roman" w:cs="Times New Roman"/>
          <w:sz w:val="24"/>
          <w:szCs w:val="24"/>
        </w:rPr>
      </w:pPr>
      <w:hyperlink r:id="rId11" w:history="1">
        <w:r w:rsidR="00BF3D3F" w:rsidRPr="00BF3D3F">
          <w:rPr>
            <w:rStyle w:val="afc"/>
            <w:rFonts w:ascii="Times New Roman" w:hAnsi="Times New Roman" w:cs="Times New Roman"/>
            <w:sz w:val="24"/>
            <w:szCs w:val="24"/>
          </w:rPr>
          <w:t>http://www.youtube.com/watch?v=wNT_l7V6kO8</w:t>
        </w:r>
      </w:hyperlink>
    </w:p>
    <w:p w:rsidR="00BF3D3F" w:rsidRPr="00447FB6" w:rsidRDefault="00BF3D3F" w:rsidP="00BF3D3F">
      <w:pPr>
        <w:spacing w:line="360" w:lineRule="auto"/>
        <w:jc w:val="both"/>
        <w:rPr>
          <w:rFonts w:ascii="Times New Roman" w:hAnsi="Times New Roman" w:cs="Times New Roman"/>
          <w:sz w:val="24"/>
          <w:szCs w:val="24"/>
        </w:rPr>
      </w:pPr>
      <w:r w:rsidRPr="00447FB6">
        <w:rPr>
          <w:rFonts w:ascii="Times New Roman" w:hAnsi="Times New Roman" w:cs="Times New Roman"/>
          <w:sz w:val="24"/>
          <w:szCs w:val="24"/>
        </w:rPr>
        <w:t>В ходе конференции участники высказали пожелание ее организаторам подготовить информацию, доходчиво излагающую суть последней пенсионной реформы и всесторонне освещающую деятельность НПФ. Так родился сборник для «чайников» «Я выбираю НПФ».</w:t>
      </w:r>
    </w:p>
    <w:p w:rsidR="00BF3D3F" w:rsidRDefault="00BF3D3F" w:rsidP="00BF3D3F">
      <w:pPr>
        <w:spacing w:line="360" w:lineRule="auto"/>
        <w:jc w:val="both"/>
        <w:rPr>
          <w:rFonts w:ascii="Times New Roman" w:hAnsi="Times New Roman" w:cs="Times New Roman"/>
          <w:sz w:val="24"/>
          <w:szCs w:val="24"/>
        </w:rPr>
      </w:pPr>
      <w:r w:rsidRPr="00447FB6">
        <w:rPr>
          <w:rFonts w:ascii="Times New Roman" w:hAnsi="Times New Roman" w:cs="Times New Roman"/>
          <w:sz w:val="24"/>
          <w:szCs w:val="24"/>
        </w:rPr>
        <w:t xml:space="preserve">Благодарим всех авторов издания. Особую признательность за предоставленные материалы выражаем Карине Артемьевой и Дарье Юдаевой («Национальное рейтинговое агентство»), а также </w:t>
      </w:r>
      <w:r>
        <w:rPr>
          <w:rFonts w:ascii="Times New Roman" w:hAnsi="Times New Roman" w:cs="Times New Roman"/>
          <w:sz w:val="24"/>
          <w:szCs w:val="24"/>
        </w:rPr>
        <w:t xml:space="preserve">Веронике Ивановой и </w:t>
      </w:r>
      <w:r w:rsidRPr="00447FB6">
        <w:rPr>
          <w:rFonts w:ascii="Times New Roman" w:hAnsi="Times New Roman" w:cs="Times New Roman"/>
          <w:sz w:val="24"/>
          <w:szCs w:val="24"/>
        </w:rPr>
        <w:t xml:space="preserve">Павлу Митрофанову (рейтинговое агентство «Эксперт РА»). </w:t>
      </w:r>
    </w:p>
    <w:p w:rsidR="00BF3D3F" w:rsidRDefault="00BF3D3F" w:rsidP="00BF3D3F">
      <w:pPr>
        <w:jc w:val="both"/>
        <w:rPr>
          <w:rFonts w:ascii="Times New Roman" w:hAnsi="Times New Roman" w:cs="Times New Roman"/>
          <w:sz w:val="24"/>
          <w:szCs w:val="24"/>
        </w:rPr>
      </w:pPr>
    </w:p>
    <w:p w:rsidR="00BF3D3F" w:rsidRPr="00447FB6" w:rsidRDefault="00BF3D3F" w:rsidP="00BF3D3F">
      <w:pPr>
        <w:jc w:val="right"/>
        <w:rPr>
          <w:rFonts w:ascii="Times New Roman" w:hAnsi="Times New Roman" w:cs="Times New Roman"/>
          <w:sz w:val="24"/>
          <w:szCs w:val="24"/>
        </w:rPr>
      </w:pPr>
    </w:p>
    <w:p w:rsidR="00BF3D3F" w:rsidRPr="00447FB6" w:rsidRDefault="00BF3D3F" w:rsidP="00BF3D3F">
      <w:pPr>
        <w:jc w:val="right"/>
        <w:rPr>
          <w:rFonts w:ascii="Times New Roman" w:hAnsi="Times New Roman" w:cs="Times New Roman"/>
          <w:sz w:val="24"/>
          <w:szCs w:val="24"/>
        </w:rPr>
      </w:pPr>
      <w:r w:rsidRPr="00C03785">
        <w:rPr>
          <w:rFonts w:ascii="Times New Roman" w:hAnsi="Times New Roman" w:cs="Times New Roman"/>
          <w:b/>
          <w:i/>
          <w:sz w:val="24"/>
          <w:szCs w:val="24"/>
        </w:rPr>
        <w:t>Иван Заргарян</w:t>
      </w:r>
      <w:r w:rsidRPr="00447FB6">
        <w:rPr>
          <w:rFonts w:ascii="Times New Roman" w:hAnsi="Times New Roman" w:cs="Times New Roman"/>
          <w:sz w:val="24"/>
          <w:szCs w:val="24"/>
        </w:rPr>
        <w:t xml:space="preserve"> – </w:t>
      </w:r>
      <w:r w:rsidRPr="00C03785">
        <w:rPr>
          <w:rFonts w:ascii="Times New Roman" w:hAnsi="Times New Roman" w:cs="Times New Roman"/>
          <w:i/>
          <w:sz w:val="24"/>
          <w:szCs w:val="24"/>
        </w:rPr>
        <w:t>шеф-редактор сборника</w:t>
      </w:r>
    </w:p>
    <w:p w:rsidR="00BF3D3F" w:rsidRPr="00447FB6" w:rsidRDefault="00BF3D3F" w:rsidP="00BF3D3F">
      <w:pPr>
        <w:jc w:val="right"/>
        <w:rPr>
          <w:rFonts w:ascii="Times New Roman" w:hAnsi="Times New Roman" w:cs="Times New Roman"/>
          <w:sz w:val="24"/>
          <w:szCs w:val="24"/>
        </w:rPr>
      </w:pPr>
      <w:r w:rsidRPr="00C03785">
        <w:rPr>
          <w:rFonts w:ascii="Times New Roman" w:hAnsi="Times New Roman" w:cs="Times New Roman"/>
          <w:b/>
          <w:i/>
          <w:sz w:val="24"/>
          <w:szCs w:val="24"/>
        </w:rPr>
        <w:t>Алексей Комаров</w:t>
      </w:r>
      <w:r w:rsidRPr="00447FB6">
        <w:rPr>
          <w:rFonts w:ascii="Times New Roman" w:hAnsi="Times New Roman" w:cs="Times New Roman"/>
          <w:sz w:val="24"/>
          <w:szCs w:val="24"/>
        </w:rPr>
        <w:t xml:space="preserve"> – </w:t>
      </w:r>
      <w:r w:rsidRPr="00C03785">
        <w:rPr>
          <w:rFonts w:ascii="Times New Roman" w:hAnsi="Times New Roman" w:cs="Times New Roman"/>
          <w:i/>
          <w:sz w:val="24"/>
          <w:szCs w:val="24"/>
        </w:rPr>
        <w:t>ответственный за выпуск</w:t>
      </w:r>
      <w:r w:rsidRPr="00447FB6">
        <w:rPr>
          <w:rFonts w:ascii="Times New Roman" w:hAnsi="Times New Roman" w:cs="Times New Roman"/>
          <w:sz w:val="24"/>
          <w:szCs w:val="24"/>
        </w:rPr>
        <w:t>.</w:t>
      </w:r>
    </w:p>
    <w:p w:rsidR="00BF3D3F" w:rsidRDefault="00BF3D3F" w:rsidP="00E87860">
      <w:pPr>
        <w:jc w:val="center"/>
        <w:rPr>
          <w:rFonts w:ascii="Times New Roman" w:hAnsi="Times New Roman" w:cs="Times New Roman"/>
          <w:b/>
          <w:sz w:val="40"/>
          <w:szCs w:val="40"/>
        </w:rPr>
      </w:pPr>
    </w:p>
    <w:p w:rsidR="00BF3D3F" w:rsidRDefault="00BF3D3F"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4111E5" w:rsidRDefault="004111E5" w:rsidP="00E87860">
      <w:pPr>
        <w:jc w:val="center"/>
        <w:rPr>
          <w:rFonts w:ascii="Times New Roman" w:hAnsi="Times New Roman" w:cs="Times New Roman"/>
          <w:b/>
          <w:sz w:val="40"/>
          <w:szCs w:val="40"/>
        </w:rPr>
      </w:pPr>
    </w:p>
    <w:p w:rsidR="00BF3D3F" w:rsidRDefault="00BF3D3F" w:rsidP="00E87860">
      <w:pPr>
        <w:jc w:val="center"/>
        <w:rPr>
          <w:rFonts w:ascii="Times New Roman" w:hAnsi="Times New Roman" w:cs="Times New Roman"/>
          <w:b/>
          <w:sz w:val="40"/>
          <w:szCs w:val="40"/>
        </w:rPr>
      </w:pPr>
    </w:p>
    <w:p w:rsidR="00E87860" w:rsidRPr="00CB6AB4" w:rsidRDefault="00E87860" w:rsidP="00E87860">
      <w:pPr>
        <w:jc w:val="center"/>
        <w:rPr>
          <w:rFonts w:ascii="Times New Roman" w:hAnsi="Times New Roman" w:cs="Times New Roman"/>
          <w:b/>
          <w:sz w:val="40"/>
          <w:szCs w:val="40"/>
        </w:rPr>
      </w:pPr>
      <w:r w:rsidRPr="00CB6AB4">
        <w:rPr>
          <w:rFonts w:ascii="Times New Roman" w:hAnsi="Times New Roman" w:cs="Times New Roman"/>
          <w:b/>
          <w:sz w:val="40"/>
          <w:szCs w:val="40"/>
        </w:rPr>
        <w:lastRenderedPageBreak/>
        <w:t>Содержание</w:t>
      </w:r>
    </w:p>
    <w:p w:rsidR="00E87860" w:rsidRDefault="00E87860" w:rsidP="00E87860">
      <w:pPr>
        <w:jc w:val="center"/>
        <w:rPr>
          <w:rFonts w:ascii="Times New Roman" w:hAnsi="Times New Roman" w:cs="Times New Roman"/>
          <w:sz w:val="28"/>
          <w:szCs w:val="28"/>
        </w:rPr>
      </w:pPr>
    </w:p>
    <w:p w:rsidR="00E87860" w:rsidRPr="00CB6AB4" w:rsidRDefault="00E87860" w:rsidP="00E30FE8">
      <w:pPr>
        <w:jc w:val="both"/>
        <w:rPr>
          <w:rFonts w:ascii="Times New Roman" w:hAnsi="Times New Roman" w:cs="Times New Roman"/>
          <w:sz w:val="28"/>
          <w:szCs w:val="28"/>
        </w:rPr>
      </w:pP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Угрюмов К.С.</w:t>
      </w:r>
      <w:r w:rsidRPr="00CB6AB4">
        <w:rPr>
          <w:rFonts w:ascii="Times New Roman" w:hAnsi="Times New Roman" w:cs="Times New Roman"/>
          <w:sz w:val="28"/>
          <w:szCs w:val="28"/>
        </w:rPr>
        <w:t xml:space="preserve"> Вступительное слово</w:t>
      </w:r>
      <w:r w:rsidR="00E30FE8">
        <w:rPr>
          <w:rFonts w:ascii="Times New Roman" w:hAnsi="Times New Roman" w:cs="Times New Roman"/>
          <w:sz w:val="28"/>
          <w:szCs w:val="28"/>
        </w:rPr>
        <w:t>…………………………………………..</w:t>
      </w:r>
      <w:r w:rsidR="00BF3D3F">
        <w:rPr>
          <w:rFonts w:ascii="Times New Roman" w:hAnsi="Times New Roman" w:cs="Times New Roman"/>
          <w:sz w:val="28"/>
          <w:szCs w:val="28"/>
        </w:rPr>
        <w:t>4</w:t>
      </w:r>
    </w:p>
    <w:p w:rsidR="00E87860"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Михайлов А. В.</w:t>
      </w:r>
      <w:r w:rsidRPr="00CB6AB4">
        <w:rPr>
          <w:rFonts w:ascii="Times New Roman" w:hAnsi="Times New Roman" w:cs="Times New Roman"/>
          <w:sz w:val="28"/>
          <w:szCs w:val="28"/>
        </w:rPr>
        <w:t xml:space="preserve"> Экономическая безопасность </w:t>
      </w:r>
      <w:r w:rsidR="00BF3D3F">
        <w:rPr>
          <w:rFonts w:ascii="Times New Roman" w:hAnsi="Times New Roman" w:cs="Times New Roman"/>
          <w:sz w:val="28"/>
          <w:szCs w:val="28"/>
        </w:rPr>
        <w:t>человека ………………...</w:t>
      </w:r>
      <w:r w:rsidR="00F24759">
        <w:rPr>
          <w:rFonts w:ascii="Times New Roman" w:hAnsi="Times New Roman" w:cs="Times New Roman"/>
          <w:sz w:val="28"/>
          <w:szCs w:val="28"/>
        </w:rPr>
        <w:t>.....</w:t>
      </w:r>
      <w:r w:rsidR="00BF3D3F">
        <w:rPr>
          <w:rFonts w:ascii="Times New Roman" w:hAnsi="Times New Roman" w:cs="Times New Roman"/>
          <w:sz w:val="28"/>
          <w:szCs w:val="28"/>
        </w:rPr>
        <w:t>5</w:t>
      </w:r>
    </w:p>
    <w:p w:rsidR="00F24759" w:rsidRPr="00CB6AB4" w:rsidRDefault="00F24759"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Заргарян И.В.</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Позаботьтесь о своем будущем……………………………….9</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proofErr w:type="spellStart"/>
      <w:r w:rsidRPr="00BF3D3F">
        <w:rPr>
          <w:rFonts w:ascii="Times New Roman" w:hAnsi="Times New Roman" w:cs="Times New Roman"/>
          <w:b/>
          <w:sz w:val="28"/>
          <w:szCs w:val="28"/>
        </w:rPr>
        <w:t>Помазкин</w:t>
      </w:r>
      <w:proofErr w:type="spellEnd"/>
      <w:r w:rsidRPr="00BF3D3F">
        <w:rPr>
          <w:rFonts w:ascii="Times New Roman" w:hAnsi="Times New Roman" w:cs="Times New Roman"/>
          <w:b/>
          <w:sz w:val="28"/>
          <w:szCs w:val="28"/>
        </w:rPr>
        <w:t xml:space="preserve"> Д.В.</w:t>
      </w:r>
      <w:r w:rsidRPr="00CB6AB4">
        <w:rPr>
          <w:rFonts w:ascii="Times New Roman" w:hAnsi="Times New Roman" w:cs="Times New Roman"/>
          <w:sz w:val="28"/>
          <w:szCs w:val="28"/>
        </w:rPr>
        <w:t xml:space="preserve"> Демография и пенсии</w:t>
      </w:r>
      <w:r w:rsidR="00BF3D3F">
        <w:rPr>
          <w:rFonts w:ascii="Times New Roman" w:hAnsi="Times New Roman" w:cs="Times New Roman"/>
          <w:sz w:val="28"/>
          <w:szCs w:val="28"/>
        </w:rPr>
        <w:t>………………………………………..12</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Колобаев О.М.</w:t>
      </w:r>
      <w:r w:rsidRPr="00CB6AB4">
        <w:rPr>
          <w:rFonts w:ascii="Times New Roman" w:hAnsi="Times New Roman" w:cs="Times New Roman"/>
          <w:sz w:val="28"/>
          <w:szCs w:val="28"/>
        </w:rPr>
        <w:t xml:space="preserve"> Негосударственные пенсионные </w:t>
      </w:r>
      <w:r w:rsidR="00BF3D3F">
        <w:rPr>
          <w:rFonts w:ascii="Times New Roman" w:hAnsi="Times New Roman" w:cs="Times New Roman"/>
          <w:sz w:val="28"/>
          <w:szCs w:val="28"/>
        </w:rPr>
        <w:t>ф</w:t>
      </w:r>
      <w:r w:rsidRPr="00CB6AB4">
        <w:rPr>
          <w:rFonts w:ascii="Times New Roman" w:hAnsi="Times New Roman" w:cs="Times New Roman"/>
          <w:sz w:val="28"/>
          <w:szCs w:val="28"/>
        </w:rPr>
        <w:t>онды</w:t>
      </w:r>
      <w:r w:rsidR="00BF3D3F">
        <w:rPr>
          <w:rFonts w:ascii="Times New Roman" w:hAnsi="Times New Roman" w:cs="Times New Roman"/>
          <w:sz w:val="28"/>
          <w:szCs w:val="28"/>
        </w:rPr>
        <w:t xml:space="preserve"> в пенсионной системе России…………………………………………………………………...18</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proofErr w:type="spellStart"/>
      <w:r w:rsidRPr="00BF3D3F">
        <w:rPr>
          <w:rFonts w:ascii="Times New Roman" w:hAnsi="Times New Roman" w:cs="Times New Roman"/>
          <w:b/>
          <w:sz w:val="28"/>
          <w:szCs w:val="28"/>
        </w:rPr>
        <w:t>Бровчак</w:t>
      </w:r>
      <w:proofErr w:type="spellEnd"/>
      <w:r w:rsidRPr="00BF3D3F">
        <w:rPr>
          <w:rFonts w:ascii="Times New Roman" w:hAnsi="Times New Roman" w:cs="Times New Roman"/>
          <w:b/>
          <w:sz w:val="28"/>
          <w:szCs w:val="28"/>
        </w:rPr>
        <w:t xml:space="preserve"> С.В.</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Риски в деятельности негосударственных пенсионных фондов……………………..…………………………………………….……….30</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proofErr w:type="spellStart"/>
      <w:r w:rsidRPr="00BF3D3F">
        <w:rPr>
          <w:rFonts w:ascii="Times New Roman" w:hAnsi="Times New Roman" w:cs="Times New Roman"/>
          <w:b/>
          <w:sz w:val="28"/>
          <w:szCs w:val="28"/>
        </w:rPr>
        <w:t>Аранжереев</w:t>
      </w:r>
      <w:proofErr w:type="spellEnd"/>
      <w:r w:rsidRPr="00BF3D3F">
        <w:rPr>
          <w:rFonts w:ascii="Times New Roman" w:hAnsi="Times New Roman" w:cs="Times New Roman"/>
          <w:b/>
          <w:sz w:val="28"/>
          <w:szCs w:val="28"/>
        </w:rPr>
        <w:t xml:space="preserve"> М.М.</w:t>
      </w:r>
      <w:r w:rsidRPr="00CB6AB4">
        <w:rPr>
          <w:rFonts w:ascii="Times New Roman" w:hAnsi="Times New Roman" w:cs="Times New Roman"/>
          <w:sz w:val="28"/>
          <w:szCs w:val="28"/>
        </w:rPr>
        <w:t xml:space="preserve"> Государственное регулирование деятельности НПФ</w:t>
      </w:r>
      <w:r w:rsidR="00BF3D3F">
        <w:rPr>
          <w:rFonts w:ascii="Times New Roman" w:hAnsi="Times New Roman" w:cs="Times New Roman"/>
          <w:sz w:val="28"/>
          <w:szCs w:val="28"/>
        </w:rPr>
        <w:t>………………………………………………………………………………34</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Артемьева К.В., Юдаева Д.В.</w:t>
      </w:r>
      <w:r w:rsidRPr="00CB6AB4">
        <w:rPr>
          <w:rFonts w:ascii="Times New Roman" w:hAnsi="Times New Roman" w:cs="Times New Roman"/>
          <w:sz w:val="28"/>
          <w:szCs w:val="28"/>
        </w:rPr>
        <w:t xml:space="preserve"> Выбрать НПФ или остаться молчуном</w:t>
      </w:r>
      <w:r w:rsidR="00BF3D3F">
        <w:rPr>
          <w:rFonts w:ascii="Times New Roman" w:hAnsi="Times New Roman" w:cs="Times New Roman"/>
          <w:sz w:val="28"/>
          <w:szCs w:val="28"/>
        </w:rPr>
        <w:t>………………………………………………………………………....40</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Pr="00BF3D3F">
        <w:rPr>
          <w:rFonts w:ascii="Times New Roman" w:hAnsi="Times New Roman" w:cs="Times New Roman"/>
          <w:b/>
          <w:sz w:val="28"/>
          <w:szCs w:val="28"/>
        </w:rPr>
        <w:t>Лукин С.А.</w:t>
      </w:r>
      <w:r w:rsidRPr="00CB6AB4">
        <w:rPr>
          <w:rFonts w:ascii="Times New Roman" w:hAnsi="Times New Roman" w:cs="Times New Roman"/>
          <w:sz w:val="28"/>
          <w:szCs w:val="28"/>
        </w:rPr>
        <w:t xml:space="preserve"> Инвестирование средств в НПФ</w:t>
      </w:r>
      <w:r w:rsidR="00BF3D3F">
        <w:rPr>
          <w:rFonts w:ascii="Times New Roman" w:hAnsi="Times New Roman" w:cs="Times New Roman"/>
          <w:sz w:val="28"/>
          <w:szCs w:val="28"/>
        </w:rPr>
        <w:t>……………………………………………………………………….……...44</w:t>
      </w:r>
    </w:p>
    <w:p w:rsidR="00E87860" w:rsidRPr="00CB6AB4" w:rsidRDefault="00E87860" w:rsidP="00BF3D3F">
      <w:pPr>
        <w:jc w:val="both"/>
        <w:rPr>
          <w:rFonts w:ascii="Times New Roman" w:hAnsi="Times New Roman" w:cs="Times New Roman"/>
          <w:sz w:val="28"/>
          <w:szCs w:val="28"/>
        </w:rPr>
      </w:pPr>
      <w:r w:rsidRPr="00CB6AB4">
        <w:rPr>
          <w:rFonts w:ascii="Times New Roman" w:hAnsi="Times New Roman" w:cs="Times New Roman"/>
          <w:sz w:val="28"/>
          <w:szCs w:val="28"/>
        </w:rPr>
        <w:t xml:space="preserve">- </w:t>
      </w:r>
      <w:r w:rsidR="00BF3D3F" w:rsidRPr="00BF3D3F">
        <w:rPr>
          <w:rFonts w:ascii="Times New Roman" w:hAnsi="Times New Roman" w:cs="Times New Roman"/>
          <w:b/>
          <w:sz w:val="28"/>
          <w:szCs w:val="28"/>
        </w:rPr>
        <w:t xml:space="preserve">Иванова В.Н., </w:t>
      </w:r>
      <w:r w:rsidRPr="00BF3D3F">
        <w:rPr>
          <w:rFonts w:ascii="Times New Roman" w:hAnsi="Times New Roman" w:cs="Times New Roman"/>
          <w:b/>
          <w:sz w:val="28"/>
          <w:szCs w:val="28"/>
        </w:rPr>
        <w:t>Митрофанов П.С.</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Думайте сами, решайте сами….</w:t>
      </w:r>
      <w:r w:rsidRPr="00CB6AB4">
        <w:rPr>
          <w:rFonts w:ascii="Times New Roman" w:hAnsi="Times New Roman" w:cs="Times New Roman"/>
          <w:sz w:val="28"/>
          <w:szCs w:val="28"/>
        </w:rPr>
        <w:t xml:space="preserve"> </w:t>
      </w:r>
      <w:r w:rsidR="00BF3D3F">
        <w:rPr>
          <w:rFonts w:ascii="Times New Roman" w:hAnsi="Times New Roman" w:cs="Times New Roman"/>
          <w:sz w:val="28"/>
          <w:szCs w:val="28"/>
        </w:rPr>
        <w:t>………………………………………………………………………………….…48</w:t>
      </w:r>
    </w:p>
    <w:p w:rsidR="00FA5F63" w:rsidRDefault="00FA5F63" w:rsidP="00BF3D3F"/>
    <w:p w:rsidR="00E87860" w:rsidRDefault="00E87860" w:rsidP="00BF3D3F"/>
    <w:p w:rsidR="00E87860" w:rsidRDefault="00E87860" w:rsidP="00BF3D3F"/>
    <w:p w:rsidR="00E87860" w:rsidRDefault="00E87860" w:rsidP="00BF3D3F"/>
    <w:p w:rsidR="00E87860" w:rsidRDefault="00E87860"/>
    <w:p w:rsidR="00E87860" w:rsidRDefault="00E87860"/>
    <w:p w:rsidR="00E87860" w:rsidRDefault="00E87860"/>
    <w:p w:rsidR="00E87860" w:rsidRDefault="00E87860"/>
    <w:p w:rsidR="00E87860" w:rsidRDefault="00E87860"/>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lastRenderedPageBreak/>
        <w:t>В предлагаемом вашему вниманию сборнике статей изложены практически все аспекты деятельности негосударственных пенсионных фондов (НПФ), место и роль НПФ в пенсионной системе страны, существенные моменты становления и развития за двадцатилетний период.</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Деятельность фонда в качестве страховщика по обязательному пенсионному страхованию включает в себя аккумулирование средств пенсионных накоплений, организацию инвестирования и учета этих средств, назначение и выплату накопительной части трудовой пенсии </w:t>
      </w:r>
      <w:r w:rsidR="00A342CA">
        <w:rPr>
          <w:rFonts w:ascii="Times New Roman" w:hAnsi="Times New Roman" w:cs="Times New Roman"/>
          <w:sz w:val="24"/>
          <w:szCs w:val="24"/>
        </w:rPr>
        <w:t xml:space="preserve">(с января 2015 года – накопительной пенсии) </w:t>
      </w:r>
      <w:r w:rsidRPr="00D85453">
        <w:rPr>
          <w:rFonts w:ascii="Times New Roman" w:hAnsi="Times New Roman" w:cs="Times New Roman"/>
          <w:sz w:val="24"/>
          <w:szCs w:val="24"/>
        </w:rPr>
        <w:t>застрахованным лицам.</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Сегодня НПФ отличают сбалансированная инвестиционная политика, диверсификация рисков, владение передовыми </w:t>
      </w:r>
      <w:r w:rsidRPr="00D85453">
        <w:rPr>
          <w:rFonts w:ascii="Times New Roman" w:hAnsi="Times New Roman" w:cs="Times New Roman"/>
          <w:sz w:val="24"/>
          <w:szCs w:val="24"/>
          <w:lang w:val="en-US"/>
        </w:rPr>
        <w:t>IT</w:t>
      </w:r>
      <w:r w:rsidRPr="00D85453">
        <w:rPr>
          <w:rFonts w:ascii="Times New Roman" w:hAnsi="Times New Roman" w:cs="Times New Roman"/>
          <w:sz w:val="24"/>
          <w:szCs w:val="24"/>
        </w:rPr>
        <w:t>-технологиями, качественный внутренний контроль, высокая квалификация персонала. Добавьте к этому государственное регулирование и контроль, а также предстоящее вхождение фондов в гос</w:t>
      </w:r>
      <w:r w:rsidR="00A342CA">
        <w:rPr>
          <w:rFonts w:ascii="Times New Roman" w:hAnsi="Times New Roman" w:cs="Times New Roman"/>
          <w:sz w:val="24"/>
          <w:szCs w:val="24"/>
        </w:rPr>
        <w:t xml:space="preserve">ударственную </w:t>
      </w:r>
      <w:r w:rsidRPr="00D85453">
        <w:rPr>
          <w:rFonts w:ascii="Times New Roman" w:hAnsi="Times New Roman" w:cs="Times New Roman"/>
          <w:sz w:val="24"/>
          <w:szCs w:val="24"/>
        </w:rPr>
        <w:t>систему сохранности средств</w:t>
      </w:r>
      <w:r w:rsidR="00A342CA">
        <w:rPr>
          <w:rFonts w:ascii="Times New Roman" w:hAnsi="Times New Roman" w:cs="Times New Roman"/>
          <w:sz w:val="24"/>
          <w:szCs w:val="24"/>
        </w:rPr>
        <w:t xml:space="preserve"> пенсионных накоплений</w:t>
      </w:r>
      <w:r w:rsidRPr="00D85453">
        <w:rPr>
          <w:rFonts w:ascii="Times New Roman" w:hAnsi="Times New Roman" w:cs="Times New Roman"/>
          <w:sz w:val="24"/>
          <w:szCs w:val="24"/>
        </w:rPr>
        <w:t xml:space="preserve">, и вы получите надежный институт для формирования накопительной пенсии. </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Суть пенсионных накоплений состоит в том, чтобы за счет капитализации страховых взносов обеспечить среднему поколению и молодежи страны в будущем достойную жизнь в тот период, когда в силу неблагоприятной демографии «содержать» пенсионеров распределительным способом будет весьма проблематично.</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Наша экономика нуждается в мощном внутреннем инвестиционном потенциале. Сегодня в негосударственных пенсионных фондах аккумулировано свыше двух триллионов рублей, грамотное вложение которых смогло бы стимулировать отечественную экономику. Надеюсь, молодежь не прельщает перспектива оказаться </w:t>
      </w:r>
      <w:r>
        <w:rPr>
          <w:rFonts w:ascii="Times New Roman" w:hAnsi="Times New Roman" w:cs="Times New Roman"/>
          <w:sz w:val="24"/>
          <w:szCs w:val="24"/>
        </w:rPr>
        <w:t>на старости лет</w:t>
      </w:r>
      <w:r w:rsidRPr="00D85453">
        <w:rPr>
          <w:rFonts w:ascii="Times New Roman" w:hAnsi="Times New Roman" w:cs="Times New Roman"/>
          <w:sz w:val="24"/>
          <w:szCs w:val="24"/>
        </w:rPr>
        <w:t xml:space="preserve"> в положении </w:t>
      </w:r>
      <w:r>
        <w:rPr>
          <w:rFonts w:ascii="Times New Roman" w:hAnsi="Times New Roman" w:cs="Times New Roman"/>
          <w:sz w:val="24"/>
          <w:szCs w:val="24"/>
        </w:rPr>
        <w:t>нынешних пенсионеров</w:t>
      </w:r>
      <w:r w:rsidRPr="00D85453">
        <w:rPr>
          <w:rFonts w:ascii="Times New Roman" w:hAnsi="Times New Roman" w:cs="Times New Roman"/>
          <w:sz w:val="24"/>
          <w:szCs w:val="24"/>
        </w:rPr>
        <w:t>?!</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Сегодня число застрахованных лиц (граждан 1967 года рождения и моложе), формирующих накопительную часть пенсии в НПФ, превысило количество «молчунов». </w:t>
      </w:r>
    </w:p>
    <w:p w:rsidR="00E87860" w:rsidRPr="00D85453"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Начиная работать над сборником, своей целью мы ставили донести до каждого неопределившегося гражданина информацию о необходимости </w:t>
      </w:r>
      <w:proofErr w:type="gramStart"/>
      <w:r w:rsidRPr="00D85453">
        <w:rPr>
          <w:rFonts w:ascii="Times New Roman" w:hAnsi="Times New Roman" w:cs="Times New Roman"/>
          <w:sz w:val="24"/>
          <w:szCs w:val="24"/>
        </w:rPr>
        <w:t>позаботиться</w:t>
      </w:r>
      <w:proofErr w:type="gramEnd"/>
      <w:r w:rsidRPr="00D85453">
        <w:rPr>
          <w:rFonts w:ascii="Times New Roman" w:hAnsi="Times New Roman" w:cs="Times New Roman"/>
          <w:sz w:val="24"/>
          <w:szCs w:val="24"/>
        </w:rPr>
        <w:t xml:space="preserve"> о будущем, сделав осознанный выбор.</w:t>
      </w:r>
    </w:p>
    <w:p w:rsidR="00E87860" w:rsidRDefault="00E87860" w:rsidP="00E87860">
      <w:pPr>
        <w:spacing w:after="0" w:line="360" w:lineRule="auto"/>
        <w:ind w:firstLine="709"/>
        <w:jc w:val="both"/>
        <w:rPr>
          <w:rFonts w:ascii="Times New Roman" w:hAnsi="Times New Roman" w:cs="Times New Roman"/>
          <w:sz w:val="24"/>
          <w:szCs w:val="24"/>
        </w:rPr>
      </w:pPr>
      <w:r w:rsidRPr="00D85453">
        <w:rPr>
          <w:rFonts w:ascii="Times New Roman" w:hAnsi="Times New Roman" w:cs="Times New Roman"/>
          <w:sz w:val="24"/>
          <w:szCs w:val="24"/>
        </w:rPr>
        <w:t xml:space="preserve">Удалось ли нам это осуществить – </w:t>
      </w:r>
      <w:r>
        <w:rPr>
          <w:rFonts w:ascii="Times New Roman" w:hAnsi="Times New Roman" w:cs="Times New Roman"/>
          <w:sz w:val="24"/>
          <w:szCs w:val="24"/>
        </w:rPr>
        <w:t>реша</w:t>
      </w:r>
      <w:r w:rsidRPr="00D85453">
        <w:rPr>
          <w:rFonts w:ascii="Times New Roman" w:hAnsi="Times New Roman" w:cs="Times New Roman"/>
          <w:sz w:val="24"/>
          <w:szCs w:val="24"/>
        </w:rPr>
        <w:t xml:space="preserve">ть вам, дорогие читатели. </w:t>
      </w:r>
    </w:p>
    <w:p w:rsidR="00E87860" w:rsidRDefault="00E87860" w:rsidP="00E87860">
      <w:pPr>
        <w:spacing w:after="0" w:line="360" w:lineRule="auto"/>
        <w:ind w:firstLine="709"/>
        <w:jc w:val="both"/>
        <w:rPr>
          <w:rFonts w:ascii="Times New Roman" w:hAnsi="Times New Roman" w:cs="Times New Roman"/>
          <w:sz w:val="24"/>
          <w:szCs w:val="24"/>
        </w:rPr>
      </w:pPr>
    </w:p>
    <w:p w:rsidR="00E87860" w:rsidRPr="00D85453" w:rsidRDefault="00E87860" w:rsidP="00E87860">
      <w:pPr>
        <w:spacing w:after="0" w:line="360" w:lineRule="auto"/>
        <w:ind w:firstLine="709"/>
        <w:jc w:val="right"/>
        <w:rPr>
          <w:rFonts w:ascii="Times New Roman" w:hAnsi="Times New Roman" w:cs="Times New Roman"/>
          <w:b/>
          <w:i/>
          <w:sz w:val="24"/>
          <w:szCs w:val="24"/>
        </w:rPr>
      </w:pPr>
      <w:r w:rsidRPr="00D85453">
        <w:rPr>
          <w:rFonts w:ascii="Times New Roman" w:hAnsi="Times New Roman" w:cs="Times New Roman"/>
          <w:b/>
          <w:i/>
          <w:sz w:val="24"/>
          <w:szCs w:val="24"/>
        </w:rPr>
        <w:t>Константин Семенович Угрюмов</w:t>
      </w:r>
    </w:p>
    <w:p w:rsidR="00E87860" w:rsidRPr="00D85453" w:rsidRDefault="00E87860" w:rsidP="00E87860">
      <w:pPr>
        <w:spacing w:after="0" w:line="360" w:lineRule="auto"/>
        <w:ind w:firstLine="709"/>
        <w:jc w:val="right"/>
        <w:rPr>
          <w:rFonts w:ascii="Times New Roman" w:hAnsi="Times New Roman" w:cs="Times New Roman"/>
          <w:i/>
          <w:sz w:val="24"/>
          <w:szCs w:val="24"/>
        </w:rPr>
      </w:pPr>
      <w:r w:rsidRPr="00D85453">
        <w:rPr>
          <w:rFonts w:ascii="Times New Roman" w:hAnsi="Times New Roman" w:cs="Times New Roman"/>
          <w:i/>
          <w:sz w:val="24"/>
          <w:szCs w:val="24"/>
        </w:rPr>
        <w:t>Президент Национальной ассоциации</w:t>
      </w:r>
    </w:p>
    <w:p w:rsidR="00E87860" w:rsidRPr="00D85453" w:rsidRDefault="00E87860" w:rsidP="00E87860">
      <w:pPr>
        <w:spacing w:after="0" w:line="360" w:lineRule="auto"/>
        <w:ind w:firstLine="709"/>
        <w:jc w:val="right"/>
        <w:rPr>
          <w:rFonts w:ascii="Times New Roman" w:hAnsi="Times New Roman" w:cs="Times New Roman"/>
          <w:i/>
          <w:sz w:val="24"/>
          <w:szCs w:val="24"/>
        </w:rPr>
      </w:pPr>
      <w:r w:rsidRPr="00D85453">
        <w:rPr>
          <w:rFonts w:ascii="Times New Roman" w:hAnsi="Times New Roman" w:cs="Times New Roman"/>
          <w:i/>
          <w:sz w:val="24"/>
          <w:szCs w:val="24"/>
        </w:rPr>
        <w:t>Негосударственных пенсионных фондов</w:t>
      </w:r>
    </w:p>
    <w:p w:rsidR="00E87860" w:rsidRDefault="00E87860" w:rsidP="00E87860">
      <w:pPr>
        <w:spacing w:after="0" w:line="360" w:lineRule="auto"/>
        <w:ind w:firstLine="709"/>
        <w:jc w:val="both"/>
        <w:rPr>
          <w:rFonts w:ascii="Times New Roman" w:hAnsi="Times New Roman" w:cs="Times New Roman"/>
          <w:sz w:val="24"/>
          <w:szCs w:val="24"/>
        </w:rPr>
      </w:pPr>
    </w:p>
    <w:p w:rsidR="00E87860" w:rsidRDefault="00E87860" w:rsidP="00E87860">
      <w:pPr>
        <w:pStyle w:val="a0"/>
      </w:pPr>
      <w:bookmarkStart w:id="0" w:name="_Toc513819608"/>
    </w:p>
    <w:p w:rsidR="00BF3D3F" w:rsidRDefault="00BF3D3F" w:rsidP="00E87860">
      <w:pPr>
        <w:pStyle w:val="a0"/>
      </w:pPr>
    </w:p>
    <w:p w:rsidR="00E87860" w:rsidRPr="00676C59" w:rsidRDefault="00BF3D3F" w:rsidP="00E87860">
      <w:pPr>
        <w:pStyle w:val="1"/>
        <w:spacing w:before="0" w:after="0" w:line="360" w:lineRule="auto"/>
        <w:ind w:firstLine="709"/>
        <w:rPr>
          <w:rFonts w:ascii="Times New Roman" w:hAnsi="Times New Roman"/>
          <w:b/>
          <w:sz w:val="28"/>
          <w:szCs w:val="24"/>
        </w:rPr>
      </w:pPr>
      <w:r>
        <w:rPr>
          <w:rFonts w:ascii="Times New Roman" w:hAnsi="Times New Roman"/>
          <w:b/>
          <w:sz w:val="28"/>
          <w:szCs w:val="24"/>
        </w:rPr>
        <w:t>Э</w:t>
      </w:r>
      <w:r w:rsidR="00E87860" w:rsidRPr="00676C59">
        <w:rPr>
          <w:rFonts w:ascii="Times New Roman" w:hAnsi="Times New Roman"/>
          <w:b/>
          <w:sz w:val="28"/>
          <w:szCs w:val="24"/>
        </w:rPr>
        <w:t>кономическая безопасность человека</w:t>
      </w:r>
    </w:p>
    <w:p w:rsidR="00E87860" w:rsidRDefault="00E87860" w:rsidP="00E87860">
      <w:pPr>
        <w:pStyle w:val="1"/>
        <w:spacing w:before="0" w:after="0" w:line="360" w:lineRule="auto"/>
        <w:ind w:firstLine="709"/>
        <w:jc w:val="both"/>
        <w:rPr>
          <w:rFonts w:ascii="Times New Roman" w:hAnsi="Times New Roman"/>
          <w:sz w:val="24"/>
          <w:szCs w:val="24"/>
        </w:rPr>
      </w:pPr>
    </w:p>
    <w:p w:rsidR="00E87860" w:rsidRPr="00676C59" w:rsidRDefault="00E87860" w:rsidP="00E87860">
      <w:pPr>
        <w:pStyle w:val="1"/>
        <w:spacing w:before="0" w:after="0" w:line="360" w:lineRule="auto"/>
        <w:ind w:firstLine="709"/>
        <w:jc w:val="right"/>
        <w:rPr>
          <w:rFonts w:ascii="Times New Roman" w:hAnsi="Times New Roman"/>
          <w:i/>
          <w:sz w:val="24"/>
          <w:szCs w:val="24"/>
        </w:rPr>
      </w:pPr>
      <w:r w:rsidRPr="00676C59">
        <w:rPr>
          <w:rFonts w:ascii="Times New Roman" w:hAnsi="Times New Roman"/>
          <w:b/>
          <w:i/>
          <w:sz w:val="24"/>
          <w:szCs w:val="24"/>
        </w:rPr>
        <w:t>Андрей Васильевич Михайлов</w:t>
      </w:r>
      <w:r>
        <w:rPr>
          <w:rFonts w:ascii="Times New Roman" w:hAnsi="Times New Roman"/>
          <w:b/>
          <w:i/>
          <w:sz w:val="24"/>
          <w:szCs w:val="24"/>
        </w:rPr>
        <w:br/>
      </w:r>
      <w:r w:rsidRPr="00676C59">
        <w:rPr>
          <w:rFonts w:ascii="Times New Roman" w:hAnsi="Times New Roman"/>
          <w:b/>
          <w:i/>
          <w:sz w:val="24"/>
          <w:szCs w:val="24"/>
        </w:rPr>
        <w:br/>
      </w:r>
      <w:r w:rsidRPr="00676C59">
        <w:rPr>
          <w:rFonts w:ascii="Times New Roman" w:hAnsi="Times New Roman"/>
          <w:i/>
          <w:sz w:val="24"/>
          <w:szCs w:val="24"/>
        </w:rPr>
        <w:t>Начальник актуарного отдела</w:t>
      </w:r>
    </w:p>
    <w:p w:rsidR="00E87860" w:rsidRPr="00676C59" w:rsidRDefault="00E87860" w:rsidP="00E87860">
      <w:pPr>
        <w:pStyle w:val="a0"/>
        <w:spacing w:line="360" w:lineRule="auto"/>
        <w:ind w:firstLine="709"/>
        <w:jc w:val="right"/>
      </w:pPr>
      <w:r w:rsidRPr="00676C59">
        <w:t>НПФ Сбербанка</w:t>
      </w:r>
    </w:p>
    <w:p w:rsidR="00E87860" w:rsidRDefault="00E87860" w:rsidP="00E87860">
      <w:pPr>
        <w:pStyle w:val="1"/>
        <w:spacing w:before="0" w:after="0" w:line="360" w:lineRule="auto"/>
        <w:ind w:firstLine="709"/>
        <w:jc w:val="both"/>
        <w:rPr>
          <w:rFonts w:ascii="Times New Roman" w:hAnsi="Times New Roman"/>
          <w:sz w:val="24"/>
          <w:szCs w:val="24"/>
        </w:rPr>
      </w:pPr>
    </w:p>
    <w:p w:rsidR="00E87860" w:rsidRPr="00B92D0F" w:rsidRDefault="00E87860" w:rsidP="00E87860">
      <w:pPr>
        <w:pStyle w:val="a0"/>
        <w:spacing w:line="360" w:lineRule="auto"/>
        <w:ind w:firstLine="709"/>
        <w:jc w:val="both"/>
      </w:pPr>
    </w:p>
    <w:bookmarkEnd w:id="0"/>
    <w:p w:rsidR="00E87860" w:rsidRPr="00BD1E22" w:rsidRDefault="00E87860" w:rsidP="00E87860">
      <w:pPr>
        <w:pStyle w:val="a0"/>
        <w:spacing w:line="360" w:lineRule="auto"/>
        <w:ind w:firstLine="709"/>
        <w:jc w:val="both"/>
      </w:pPr>
    </w:p>
    <w:p w:rsidR="00E87860" w:rsidRDefault="00E87860" w:rsidP="00E87860">
      <w:pPr>
        <w:pStyle w:val="a0"/>
        <w:spacing w:line="360" w:lineRule="auto"/>
        <w:ind w:firstLine="709"/>
        <w:jc w:val="both"/>
        <w:rPr>
          <w:szCs w:val="24"/>
        </w:rPr>
      </w:pPr>
      <w:r w:rsidRPr="00406381">
        <w:rPr>
          <w:szCs w:val="24"/>
        </w:rPr>
        <w:t xml:space="preserve">При советской власти </w:t>
      </w:r>
      <w:r>
        <w:rPr>
          <w:szCs w:val="24"/>
        </w:rPr>
        <w:t>граждане нашей страны</w:t>
      </w:r>
      <w:r w:rsidRPr="00406381">
        <w:rPr>
          <w:szCs w:val="24"/>
        </w:rPr>
        <w:t xml:space="preserve"> не задумывались о пенсиях, полагаясь в этом вопросе на государство. И, действительно, пенсионная система страны в то время обеспечивала людям, находящимся на заслуженном отдыхе, сносный, а иногда и вполне достаточный уровень жизни. Человек, выходя на пенсию, был ориентирован на получение от государства пенсионного дохода не ниже 50% своего заработка, из которого начисляется пенсия (например, </w:t>
      </w:r>
      <w:proofErr w:type="gramStart"/>
      <w:r w:rsidRPr="00406381">
        <w:rPr>
          <w:szCs w:val="24"/>
        </w:rPr>
        <w:t>за</w:t>
      </w:r>
      <w:proofErr w:type="gramEnd"/>
      <w:r w:rsidRPr="00406381">
        <w:rPr>
          <w:szCs w:val="24"/>
        </w:rPr>
        <w:t xml:space="preserve"> последние 2 года). В нас</w:t>
      </w:r>
      <w:r>
        <w:rPr>
          <w:szCs w:val="24"/>
        </w:rPr>
        <w:t xml:space="preserve">тоящее </w:t>
      </w:r>
      <w:r w:rsidRPr="00406381">
        <w:rPr>
          <w:szCs w:val="24"/>
        </w:rPr>
        <w:t xml:space="preserve">время это невыполнимо. Пенсионные ожидания граждан не соответствуют возможностям пенсионной системы </w:t>
      </w:r>
      <w:r>
        <w:rPr>
          <w:szCs w:val="24"/>
        </w:rPr>
        <w:t>России</w:t>
      </w:r>
      <w:r w:rsidRPr="00406381">
        <w:rPr>
          <w:szCs w:val="24"/>
        </w:rPr>
        <w:t>, которая должна существенно измениться</w:t>
      </w:r>
      <w:r>
        <w:rPr>
          <w:szCs w:val="24"/>
        </w:rPr>
        <w:t xml:space="preserve">. Следует отметить, что она меняется, причем довольно часто, но, к сожалению, не в пользу будущих пенсионеров. </w:t>
      </w:r>
    </w:p>
    <w:p w:rsidR="00E87860" w:rsidRPr="00406381" w:rsidRDefault="00E87860" w:rsidP="00E87860">
      <w:pPr>
        <w:pStyle w:val="a0"/>
        <w:spacing w:line="360" w:lineRule="auto"/>
        <w:ind w:firstLine="709"/>
        <w:jc w:val="both"/>
        <w:rPr>
          <w:szCs w:val="24"/>
        </w:rPr>
      </w:pPr>
      <w:r w:rsidRPr="00406381">
        <w:rPr>
          <w:szCs w:val="24"/>
        </w:rPr>
        <w:t xml:space="preserve">В результате проводимых </w:t>
      </w:r>
      <w:r>
        <w:rPr>
          <w:szCs w:val="24"/>
        </w:rPr>
        <w:t xml:space="preserve">пенсионных </w:t>
      </w:r>
      <w:r w:rsidRPr="00406381">
        <w:rPr>
          <w:szCs w:val="24"/>
        </w:rPr>
        <w:t>реформ</w:t>
      </w:r>
      <w:r>
        <w:rPr>
          <w:szCs w:val="24"/>
        </w:rPr>
        <w:t>аций</w:t>
      </w:r>
      <w:r w:rsidRPr="00406381">
        <w:rPr>
          <w:szCs w:val="24"/>
        </w:rPr>
        <w:t xml:space="preserve"> на смену единой, обезличенной и уравнительной пенсионной системе</w:t>
      </w:r>
      <w:r>
        <w:rPr>
          <w:szCs w:val="24"/>
        </w:rPr>
        <w:t xml:space="preserve"> Советского Союза</w:t>
      </w:r>
      <w:r w:rsidRPr="00406381">
        <w:rPr>
          <w:szCs w:val="24"/>
        </w:rPr>
        <w:t xml:space="preserve"> должна прийти </w:t>
      </w:r>
      <w:r>
        <w:rPr>
          <w:szCs w:val="24"/>
        </w:rPr>
        <w:t xml:space="preserve">новая </w:t>
      </w:r>
      <w:proofErr w:type="spellStart"/>
      <w:r>
        <w:rPr>
          <w:szCs w:val="24"/>
        </w:rPr>
        <w:t>пенсионая</w:t>
      </w:r>
      <w:proofErr w:type="spellEnd"/>
      <w:r>
        <w:rPr>
          <w:szCs w:val="24"/>
        </w:rPr>
        <w:t xml:space="preserve"> система: </w:t>
      </w:r>
      <w:r w:rsidRPr="00406381">
        <w:rPr>
          <w:szCs w:val="24"/>
        </w:rPr>
        <w:t xml:space="preserve">разветвленная, персонифицированная, многоуровневая, построенная на принципах фондирования и страхования. Это, в свою очередь, вызывает необходимость изменения механизма назначения пенсий и принципов солидарного пенсионного обеспечения. В условиях </w:t>
      </w:r>
      <w:proofErr w:type="spellStart"/>
      <w:r w:rsidRPr="00406381">
        <w:rPr>
          <w:szCs w:val="24"/>
        </w:rPr>
        <w:t>непроходящего</w:t>
      </w:r>
      <w:proofErr w:type="spellEnd"/>
      <w:r w:rsidRPr="00406381">
        <w:rPr>
          <w:szCs w:val="24"/>
        </w:rPr>
        <w:t xml:space="preserve"> экономического кризиса целесообразн</w:t>
      </w:r>
      <w:r>
        <w:rPr>
          <w:szCs w:val="24"/>
        </w:rPr>
        <w:t>о</w:t>
      </w:r>
      <w:r w:rsidRPr="00406381">
        <w:rPr>
          <w:szCs w:val="24"/>
        </w:rPr>
        <w:t xml:space="preserve"> рассматривать пенсионную реформу в России в общем контексте экономической безопасности человека.</w:t>
      </w:r>
    </w:p>
    <w:p w:rsidR="00E87860" w:rsidRPr="00406381" w:rsidRDefault="00E87860" w:rsidP="00E87860">
      <w:pPr>
        <w:pStyle w:val="a0"/>
        <w:spacing w:line="360" w:lineRule="auto"/>
        <w:ind w:firstLine="709"/>
        <w:jc w:val="both"/>
        <w:rPr>
          <w:szCs w:val="24"/>
        </w:rPr>
      </w:pPr>
      <w:r w:rsidRPr="00406381">
        <w:rPr>
          <w:szCs w:val="24"/>
        </w:rPr>
        <w:t>Что же такое экономическая безопасность человека и в чем она выражается?</w:t>
      </w:r>
    </w:p>
    <w:p w:rsidR="00E87860" w:rsidRPr="00406381" w:rsidRDefault="00E87860" w:rsidP="00E87860">
      <w:pPr>
        <w:pStyle w:val="a0"/>
        <w:spacing w:line="360" w:lineRule="auto"/>
        <w:ind w:firstLine="709"/>
        <w:jc w:val="both"/>
        <w:rPr>
          <w:szCs w:val="24"/>
        </w:rPr>
      </w:pPr>
      <w:r w:rsidRPr="00406381">
        <w:rPr>
          <w:i/>
          <w:szCs w:val="24"/>
        </w:rPr>
        <w:t>Экономическая безопасность человека (ЭБЧ)</w:t>
      </w:r>
      <w:r w:rsidRPr="00406381">
        <w:rPr>
          <w:szCs w:val="24"/>
        </w:rPr>
        <w:t> — общие объемы доходов и сбережений, обеспечивающие привычную комфортность жизни человека и его семьи независимо от случайных и обусловленных факторов ухудшения условий жизни и совокупных доходов.</w:t>
      </w:r>
    </w:p>
    <w:p w:rsidR="00E87860" w:rsidRPr="00406381" w:rsidRDefault="00E87860" w:rsidP="00E87860">
      <w:pPr>
        <w:pStyle w:val="a0"/>
        <w:spacing w:line="360" w:lineRule="auto"/>
        <w:ind w:firstLine="709"/>
        <w:jc w:val="both"/>
        <w:rPr>
          <w:szCs w:val="24"/>
        </w:rPr>
      </w:pPr>
      <w:r w:rsidRPr="00406381">
        <w:rPr>
          <w:szCs w:val="24"/>
        </w:rPr>
        <w:t xml:space="preserve">При снижении уровня жизни, выраженном количественно (например, относительно величины прожиточного минимума), можно говорить об ущербе ЭБЧ. Если текущие </w:t>
      </w:r>
      <w:r w:rsidRPr="00406381">
        <w:rPr>
          <w:szCs w:val="24"/>
        </w:rPr>
        <w:lastRenderedPageBreak/>
        <w:t>потребительские возможности человека находятся ниже стоимости минимальной потребительской корзины, то ущерб ЭБЧ становится неприемлемым. Сейчас в России в отношении пенсионеров (да и не только их) так дело и обстоит.</w:t>
      </w:r>
    </w:p>
    <w:p w:rsidR="00E87860" w:rsidRPr="00406381" w:rsidRDefault="00E87860" w:rsidP="00E87860">
      <w:pPr>
        <w:pStyle w:val="a0"/>
        <w:spacing w:line="360" w:lineRule="auto"/>
        <w:ind w:firstLine="709"/>
        <w:jc w:val="both"/>
        <w:rPr>
          <w:szCs w:val="24"/>
        </w:rPr>
      </w:pPr>
      <w:r w:rsidRPr="00406381">
        <w:rPr>
          <w:szCs w:val="24"/>
        </w:rPr>
        <w:t>Как же обеспечить экономическую безопасность человека?</w:t>
      </w:r>
    </w:p>
    <w:p w:rsidR="00E87860" w:rsidRPr="00406381" w:rsidRDefault="00E87860" w:rsidP="00E87860">
      <w:pPr>
        <w:pStyle w:val="a0"/>
        <w:spacing w:line="360" w:lineRule="auto"/>
        <w:ind w:firstLine="709"/>
        <w:jc w:val="both"/>
        <w:rPr>
          <w:szCs w:val="24"/>
        </w:rPr>
      </w:pPr>
      <w:r w:rsidRPr="00406381">
        <w:rPr>
          <w:szCs w:val="24"/>
        </w:rPr>
        <w:t>Под обеспечением ЭБЧ понимают способность гражданина, работодателя и государства обеспечивать на долгосрочный период независимо от трудоспособности человека его потребительские возможности без допущения неприемлемого ущерба его экономической безопасности.</w:t>
      </w:r>
    </w:p>
    <w:p w:rsidR="00E87860" w:rsidRPr="00406381" w:rsidRDefault="00E87860" w:rsidP="00E87860">
      <w:pPr>
        <w:pStyle w:val="a0"/>
        <w:spacing w:line="360" w:lineRule="auto"/>
        <w:ind w:firstLine="709"/>
        <w:jc w:val="both"/>
        <w:rPr>
          <w:szCs w:val="24"/>
        </w:rPr>
      </w:pPr>
      <w:r w:rsidRPr="00406381">
        <w:rPr>
          <w:szCs w:val="24"/>
        </w:rPr>
        <w:t>Формально задача обеспечения ЭБЧ может быть сформулирована следующим образом: организовать накопления человека в ходе его жизненного цикла так, чтобы к выходу на пенсию (</w:t>
      </w:r>
      <w:proofErr w:type="gramStart"/>
      <w:r w:rsidRPr="00406381">
        <w:rPr>
          <w:szCs w:val="24"/>
        </w:rPr>
        <w:t>по</w:t>
      </w:r>
      <w:proofErr w:type="gramEnd"/>
      <w:r w:rsidRPr="00406381">
        <w:rPr>
          <w:szCs w:val="24"/>
        </w:rPr>
        <w:t xml:space="preserve"> наступлении пенсионных оснований) их было достаточно для обеспечения его потребностей за счет пенсионных выплат.</w:t>
      </w:r>
    </w:p>
    <w:p w:rsidR="00E87860" w:rsidRPr="00406381" w:rsidRDefault="00E87860" w:rsidP="00E87860">
      <w:pPr>
        <w:pStyle w:val="a0"/>
        <w:spacing w:line="360" w:lineRule="auto"/>
        <w:ind w:firstLine="709"/>
        <w:jc w:val="both"/>
        <w:rPr>
          <w:szCs w:val="24"/>
        </w:rPr>
      </w:pPr>
      <w:r w:rsidRPr="00406381">
        <w:rPr>
          <w:szCs w:val="24"/>
        </w:rPr>
        <w:t>Пенсионное обеспечение в овеществленном виде есть совокупность товаров и услуг, предоставляемых нетрудоспособному по пенсионным основаниям населению. В соответствии с За</w:t>
      </w:r>
      <w:r>
        <w:rPr>
          <w:szCs w:val="24"/>
        </w:rPr>
        <w:t>коном Российской Федерации «</w:t>
      </w:r>
      <w:r w:rsidRPr="00406381">
        <w:rPr>
          <w:szCs w:val="24"/>
        </w:rPr>
        <w:t>О государственных пен</w:t>
      </w:r>
      <w:r>
        <w:rPr>
          <w:szCs w:val="24"/>
        </w:rPr>
        <w:t>сиях в Российской Федерации»</w:t>
      </w:r>
      <w:r w:rsidRPr="00406381">
        <w:rPr>
          <w:szCs w:val="24"/>
        </w:rPr>
        <w:t xml:space="preserve"> определены следующие пенсионные основания для назначения пенсии человеку:</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пенсионный возраст (55 лет для женщин и 60 лет для мужчин);</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инвалидность;</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смерть кормильца;</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по инвалидности вследствие трудового увечья и профессионального заболевания;</w:t>
      </w:r>
    </w:p>
    <w:p w:rsidR="00E87860" w:rsidRPr="00406381" w:rsidRDefault="00E87860" w:rsidP="00E87860">
      <w:pPr>
        <w:pStyle w:val="a8"/>
        <w:spacing w:line="360" w:lineRule="auto"/>
        <w:ind w:left="0" w:firstLine="709"/>
        <w:jc w:val="both"/>
        <w:rPr>
          <w:szCs w:val="24"/>
        </w:rPr>
      </w:pPr>
      <w:r w:rsidRPr="00406381">
        <w:rPr>
          <w:szCs w:val="24"/>
        </w:rPr>
        <w:sym w:font="Symbol" w:char="F0B7"/>
      </w:r>
      <w:r w:rsidRPr="00406381">
        <w:rPr>
          <w:szCs w:val="24"/>
        </w:rPr>
        <w:tab/>
        <w:t>особые, то есть вредные и опасные условия труда (возрастная граница снижается) или льготное пенсионное обеспечение.</w:t>
      </w:r>
    </w:p>
    <w:p w:rsidR="00E87860" w:rsidRPr="00406381" w:rsidRDefault="00E87860" w:rsidP="00E87860">
      <w:pPr>
        <w:pStyle w:val="a0"/>
        <w:spacing w:line="360" w:lineRule="auto"/>
        <w:ind w:firstLine="709"/>
        <w:jc w:val="both"/>
        <w:rPr>
          <w:szCs w:val="24"/>
        </w:rPr>
      </w:pPr>
      <w:r w:rsidRPr="00406381">
        <w:rPr>
          <w:szCs w:val="24"/>
        </w:rPr>
        <w:t>Соответственно попытаемся определить набор угроз ЭБЧ, связанных с пенсионными основаниями, и их связь с общим уровнем доходов и сбережений человека на его жизненном пути. Начнем по порядку.</w:t>
      </w:r>
    </w:p>
    <w:p w:rsidR="00E87860" w:rsidRPr="00406381" w:rsidRDefault="00E87860" w:rsidP="00E87860">
      <w:pPr>
        <w:pStyle w:val="a0"/>
        <w:spacing w:line="360" w:lineRule="auto"/>
        <w:ind w:firstLine="709"/>
        <w:jc w:val="both"/>
        <w:rPr>
          <w:szCs w:val="24"/>
        </w:rPr>
      </w:pPr>
      <w:r w:rsidRPr="00406381">
        <w:rPr>
          <w:szCs w:val="24"/>
        </w:rPr>
        <w:t>Пенсионный возраст является обусловленной угрозой ЭБЧ — он неотвратимо наступит. Сегодня для большинства граждан России наступление пенсионного возраста является действительной угрозой их благосостоянию.</w:t>
      </w:r>
      <w:r>
        <w:rPr>
          <w:szCs w:val="24"/>
        </w:rPr>
        <w:t xml:space="preserve"> В настоящее время государство </w:t>
      </w:r>
      <w:r w:rsidRPr="00406381">
        <w:rPr>
          <w:szCs w:val="24"/>
        </w:rPr>
        <w:t xml:space="preserve">экономически и политически не способно обеспечить стойкость механизмов защиты ЭБЧ, да и сами эти механизмы постоянно перестраиваются. </w:t>
      </w:r>
      <w:proofErr w:type="gramStart"/>
      <w:r w:rsidRPr="00406381">
        <w:rPr>
          <w:szCs w:val="24"/>
        </w:rPr>
        <w:t>Довольных</w:t>
      </w:r>
      <w:proofErr w:type="gramEnd"/>
      <w:r w:rsidRPr="00406381">
        <w:rPr>
          <w:szCs w:val="24"/>
        </w:rPr>
        <w:t xml:space="preserve"> уровнем пенсионного обеспечения в настоящее время в России нет. Только с переходом от распределит</w:t>
      </w:r>
      <w:r>
        <w:rPr>
          <w:szCs w:val="24"/>
        </w:rPr>
        <w:t xml:space="preserve">ельной к </w:t>
      </w:r>
      <w:r>
        <w:rPr>
          <w:szCs w:val="24"/>
        </w:rPr>
        <w:lastRenderedPageBreak/>
        <w:t xml:space="preserve">фондируемой </w:t>
      </w:r>
      <w:r w:rsidRPr="00406381">
        <w:rPr>
          <w:szCs w:val="24"/>
        </w:rPr>
        <w:t xml:space="preserve"> пенсионной системе можно будет гарантировать гражданину адекватный его трудовым усилиям уровень пенсии.</w:t>
      </w:r>
    </w:p>
    <w:p w:rsidR="00E87860" w:rsidRPr="00406381" w:rsidRDefault="00E87860" w:rsidP="00E87860">
      <w:pPr>
        <w:pStyle w:val="a0"/>
        <w:spacing w:line="360" w:lineRule="auto"/>
        <w:ind w:firstLine="709"/>
        <w:jc w:val="both"/>
        <w:rPr>
          <w:szCs w:val="24"/>
        </w:rPr>
      </w:pPr>
      <w:r>
        <w:rPr>
          <w:szCs w:val="24"/>
        </w:rPr>
        <w:t>П</w:t>
      </w:r>
      <w:r w:rsidRPr="00406381">
        <w:rPr>
          <w:szCs w:val="24"/>
        </w:rPr>
        <w:t>енсионны</w:t>
      </w:r>
      <w:r>
        <w:rPr>
          <w:szCs w:val="24"/>
        </w:rPr>
        <w:t>е</w:t>
      </w:r>
      <w:r w:rsidRPr="00406381">
        <w:rPr>
          <w:szCs w:val="24"/>
        </w:rPr>
        <w:t xml:space="preserve"> основания (инвалидность и смерть кормильца) являются случайной угрозой ЭБЧ. Во всем мире эти угрозы ЭБЧ предупреждаются страховыми механизмами и, как правило, самим человеком (страхование жизни и страхование от несчастного случая).</w:t>
      </w:r>
    </w:p>
    <w:p w:rsidR="00E87860" w:rsidRPr="00406381" w:rsidRDefault="00E87860" w:rsidP="00E87860">
      <w:pPr>
        <w:pStyle w:val="a0"/>
        <w:spacing w:line="360" w:lineRule="auto"/>
        <w:ind w:firstLine="709"/>
        <w:jc w:val="both"/>
        <w:rPr>
          <w:szCs w:val="24"/>
        </w:rPr>
      </w:pPr>
      <w:r w:rsidRPr="00406381">
        <w:rPr>
          <w:szCs w:val="24"/>
        </w:rPr>
        <w:t xml:space="preserve">Два последних пенсионных основания являются обусловленными угрозами ЭБЧ. Все знают, что можно потерять трудоспособность, но из-за существующих льгот (уже давно не адекватных современным условиям и обманчивых по материальной компенсации риска) идут на опасные производства. </w:t>
      </w:r>
      <w:proofErr w:type="gramStart"/>
      <w:r w:rsidRPr="00406381">
        <w:rPr>
          <w:szCs w:val="24"/>
        </w:rPr>
        <w:t xml:space="preserve">Для занятых на них работников законодательством должно быть закреплено право на получение информации об уровне профессионального риска, обязательное медицинское освидетельствование при приеме на работу, профотбор и </w:t>
      </w:r>
      <w:proofErr w:type="spellStart"/>
      <w:r w:rsidRPr="00406381">
        <w:rPr>
          <w:szCs w:val="24"/>
        </w:rPr>
        <w:t>профподготовку</w:t>
      </w:r>
      <w:proofErr w:type="spellEnd"/>
      <w:r w:rsidRPr="00406381">
        <w:rPr>
          <w:szCs w:val="24"/>
        </w:rPr>
        <w:t xml:space="preserve">; </w:t>
      </w:r>
      <w:r>
        <w:rPr>
          <w:szCs w:val="24"/>
        </w:rPr>
        <w:t xml:space="preserve">право </w:t>
      </w:r>
      <w:r w:rsidRPr="00406381">
        <w:rPr>
          <w:szCs w:val="24"/>
        </w:rPr>
        <w:t>на обязательное социальное страхование от профессиональных рисков, обеспечивающее не только денежную компенсацию утраты трудоспособности, но и весь комплекс профилактических, медицинских и реабилитационных мероприятий.</w:t>
      </w:r>
      <w:proofErr w:type="gramEnd"/>
    </w:p>
    <w:p w:rsidR="00E87860" w:rsidRPr="00406381" w:rsidRDefault="00E87860" w:rsidP="00E87860">
      <w:pPr>
        <w:pStyle w:val="a0"/>
        <w:spacing w:line="360" w:lineRule="auto"/>
        <w:ind w:firstLine="709"/>
        <w:jc w:val="both"/>
        <w:rPr>
          <w:szCs w:val="24"/>
        </w:rPr>
      </w:pPr>
      <w:r w:rsidRPr="00406381">
        <w:rPr>
          <w:szCs w:val="24"/>
        </w:rPr>
        <w:t>В таблице 3 приведена классификация угроз ЭБЧ по пенсионным основаниям и применяемые (в мировой практике) средства защиты и компенсации.</w:t>
      </w:r>
    </w:p>
    <w:p w:rsidR="00E87860" w:rsidRDefault="00E87860" w:rsidP="00E87860">
      <w:pPr>
        <w:pStyle w:val="a6"/>
        <w:spacing w:before="0" w:line="360" w:lineRule="auto"/>
        <w:ind w:firstLine="709"/>
        <w:jc w:val="both"/>
        <w:rPr>
          <w:sz w:val="24"/>
          <w:szCs w:val="24"/>
        </w:rPr>
      </w:pPr>
    </w:p>
    <w:p w:rsidR="00E87860" w:rsidRPr="00E87860" w:rsidRDefault="00E87860" w:rsidP="00E87860">
      <w:pPr>
        <w:pStyle w:val="a6"/>
        <w:spacing w:before="0" w:line="360" w:lineRule="auto"/>
        <w:ind w:firstLine="709"/>
        <w:jc w:val="both"/>
        <w:rPr>
          <w:b/>
        </w:rPr>
      </w:pPr>
      <w:r w:rsidRPr="00E87860">
        <w:rPr>
          <w:b/>
          <w:sz w:val="24"/>
          <w:szCs w:val="24"/>
        </w:rPr>
        <w:t>Таблица 1</w:t>
      </w:r>
    </w:p>
    <w:p w:rsidR="00E87860" w:rsidRPr="00406381" w:rsidRDefault="00E87860" w:rsidP="00E87860">
      <w:pPr>
        <w:pStyle w:val="a7"/>
        <w:spacing w:before="0" w:after="0" w:line="360" w:lineRule="auto"/>
        <w:ind w:firstLine="709"/>
        <w:jc w:val="both"/>
        <w:rPr>
          <w:sz w:val="24"/>
          <w:szCs w:val="24"/>
        </w:rPr>
      </w:pPr>
      <w:r w:rsidRPr="00406381">
        <w:rPr>
          <w:sz w:val="24"/>
          <w:szCs w:val="24"/>
        </w:rPr>
        <w:t>Угрозы ЭБЧ по пенсионным основаниям и средства защиты и компенсации</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984"/>
        <w:gridCol w:w="1730"/>
        <w:gridCol w:w="1672"/>
        <w:gridCol w:w="1748"/>
        <w:gridCol w:w="1800"/>
      </w:tblGrid>
      <w:tr w:rsidR="00E87860" w:rsidRPr="00406381" w:rsidTr="00E87860">
        <w:trPr>
          <w:cantSplit/>
          <w:trHeight w:val="143"/>
        </w:trPr>
        <w:tc>
          <w:tcPr>
            <w:tcW w:w="568" w:type="dxa"/>
            <w:vMerge w:val="restart"/>
          </w:tcPr>
          <w:p w:rsidR="00E87860" w:rsidRPr="00406381" w:rsidRDefault="00E87860" w:rsidP="00E87860">
            <w:pPr>
              <w:pStyle w:val="a9"/>
              <w:spacing w:line="360" w:lineRule="auto"/>
              <w:ind w:firstLine="709"/>
              <w:jc w:val="both"/>
              <w:rPr>
                <w:sz w:val="24"/>
                <w:szCs w:val="24"/>
              </w:rPr>
            </w:pPr>
            <w:proofErr w:type="gramStart"/>
            <w:r w:rsidRPr="00406381">
              <w:rPr>
                <w:sz w:val="24"/>
                <w:szCs w:val="24"/>
              </w:rPr>
              <w:t>п</w:t>
            </w:r>
            <w:proofErr w:type="gramEnd"/>
            <w:r w:rsidRPr="00406381">
              <w:rPr>
                <w:sz w:val="24"/>
                <w:szCs w:val="24"/>
              </w:rPr>
              <w:t>/п</w:t>
            </w:r>
          </w:p>
        </w:tc>
        <w:tc>
          <w:tcPr>
            <w:tcW w:w="1984" w:type="dxa"/>
            <w:vMerge w:val="restart"/>
          </w:tcPr>
          <w:p w:rsidR="00E87860" w:rsidRPr="00406381" w:rsidRDefault="00E87860" w:rsidP="00E87860">
            <w:pPr>
              <w:pStyle w:val="a9"/>
              <w:spacing w:line="360" w:lineRule="auto"/>
              <w:jc w:val="both"/>
              <w:rPr>
                <w:sz w:val="24"/>
                <w:szCs w:val="24"/>
              </w:rPr>
            </w:pPr>
            <w:r w:rsidRPr="00406381">
              <w:rPr>
                <w:sz w:val="24"/>
                <w:szCs w:val="24"/>
              </w:rPr>
              <w:t>Пенсионные основания</w:t>
            </w:r>
          </w:p>
        </w:tc>
        <w:tc>
          <w:tcPr>
            <w:tcW w:w="1730" w:type="dxa"/>
            <w:vMerge w:val="restart"/>
          </w:tcPr>
          <w:p w:rsidR="00E87860" w:rsidRPr="00406381" w:rsidRDefault="00E87860" w:rsidP="00E87860">
            <w:pPr>
              <w:pStyle w:val="a9"/>
              <w:spacing w:line="360" w:lineRule="auto"/>
              <w:ind w:firstLine="709"/>
              <w:jc w:val="both"/>
              <w:rPr>
                <w:sz w:val="24"/>
                <w:szCs w:val="24"/>
              </w:rPr>
            </w:pPr>
            <w:r w:rsidRPr="00406381">
              <w:rPr>
                <w:sz w:val="24"/>
                <w:szCs w:val="24"/>
              </w:rPr>
              <w:t>Угрозы ЭБЧ</w:t>
            </w:r>
          </w:p>
        </w:tc>
        <w:tc>
          <w:tcPr>
            <w:tcW w:w="5220" w:type="dxa"/>
            <w:gridSpan w:val="3"/>
          </w:tcPr>
          <w:p w:rsidR="00E87860" w:rsidRPr="00406381" w:rsidRDefault="00E87860" w:rsidP="00E87860">
            <w:pPr>
              <w:pStyle w:val="a9"/>
              <w:spacing w:line="360" w:lineRule="auto"/>
              <w:ind w:firstLine="709"/>
              <w:jc w:val="both"/>
              <w:rPr>
                <w:sz w:val="24"/>
                <w:szCs w:val="24"/>
              </w:rPr>
            </w:pPr>
            <w:r w:rsidRPr="00406381">
              <w:rPr>
                <w:sz w:val="24"/>
                <w:szCs w:val="24"/>
              </w:rPr>
              <w:t>Средства защиты и компенсации</w:t>
            </w:r>
          </w:p>
        </w:tc>
      </w:tr>
      <w:tr w:rsidR="00E87860" w:rsidRPr="00406381" w:rsidTr="00E87860">
        <w:trPr>
          <w:cantSplit/>
          <w:trHeight w:val="142"/>
        </w:trPr>
        <w:tc>
          <w:tcPr>
            <w:tcW w:w="568" w:type="dxa"/>
            <w:vMerge/>
          </w:tcPr>
          <w:p w:rsidR="00E87860" w:rsidRPr="00406381" w:rsidRDefault="00E87860" w:rsidP="00E87860">
            <w:pPr>
              <w:pStyle w:val="a9"/>
              <w:spacing w:line="360" w:lineRule="auto"/>
              <w:ind w:firstLine="709"/>
              <w:jc w:val="both"/>
              <w:rPr>
                <w:sz w:val="24"/>
                <w:szCs w:val="24"/>
              </w:rPr>
            </w:pPr>
          </w:p>
        </w:tc>
        <w:tc>
          <w:tcPr>
            <w:tcW w:w="1984" w:type="dxa"/>
            <w:vMerge/>
          </w:tcPr>
          <w:p w:rsidR="00E87860" w:rsidRPr="00406381" w:rsidRDefault="00E87860" w:rsidP="00E87860">
            <w:pPr>
              <w:pStyle w:val="a9"/>
              <w:spacing w:line="360" w:lineRule="auto"/>
              <w:ind w:firstLine="709"/>
              <w:jc w:val="both"/>
              <w:rPr>
                <w:sz w:val="24"/>
                <w:szCs w:val="24"/>
              </w:rPr>
            </w:pPr>
          </w:p>
        </w:tc>
        <w:tc>
          <w:tcPr>
            <w:tcW w:w="1730" w:type="dxa"/>
            <w:vMerge/>
          </w:tcPr>
          <w:p w:rsidR="00E87860" w:rsidRPr="00406381" w:rsidRDefault="00E87860" w:rsidP="00E87860">
            <w:pPr>
              <w:pStyle w:val="a9"/>
              <w:spacing w:line="360" w:lineRule="auto"/>
              <w:ind w:firstLine="709"/>
              <w:jc w:val="both"/>
              <w:rPr>
                <w:sz w:val="24"/>
                <w:szCs w:val="24"/>
              </w:rPr>
            </w:pPr>
          </w:p>
        </w:tc>
        <w:tc>
          <w:tcPr>
            <w:tcW w:w="1672" w:type="dxa"/>
          </w:tcPr>
          <w:p w:rsidR="00E87860" w:rsidRPr="00406381" w:rsidRDefault="00E87860" w:rsidP="00E87860">
            <w:pPr>
              <w:pStyle w:val="a9"/>
              <w:spacing w:line="360" w:lineRule="auto"/>
              <w:jc w:val="both"/>
              <w:rPr>
                <w:sz w:val="24"/>
                <w:szCs w:val="24"/>
              </w:rPr>
            </w:pPr>
            <w:r w:rsidRPr="00406381">
              <w:rPr>
                <w:sz w:val="24"/>
                <w:szCs w:val="24"/>
              </w:rPr>
              <w:t>Государство</w:t>
            </w:r>
          </w:p>
        </w:tc>
        <w:tc>
          <w:tcPr>
            <w:tcW w:w="1748" w:type="dxa"/>
          </w:tcPr>
          <w:p w:rsidR="00E87860" w:rsidRPr="00406381" w:rsidRDefault="00E87860" w:rsidP="00E87860">
            <w:pPr>
              <w:pStyle w:val="a9"/>
              <w:spacing w:line="360" w:lineRule="auto"/>
              <w:jc w:val="both"/>
              <w:rPr>
                <w:sz w:val="24"/>
                <w:szCs w:val="24"/>
              </w:rPr>
            </w:pPr>
            <w:r w:rsidRPr="00406381">
              <w:rPr>
                <w:sz w:val="24"/>
                <w:szCs w:val="24"/>
              </w:rPr>
              <w:t>Работодатель</w:t>
            </w:r>
          </w:p>
        </w:tc>
        <w:tc>
          <w:tcPr>
            <w:tcW w:w="1800" w:type="dxa"/>
          </w:tcPr>
          <w:p w:rsidR="00E87860" w:rsidRPr="00406381" w:rsidRDefault="00E87860" w:rsidP="00E87860">
            <w:pPr>
              <w:pStyle w:val="a9"/>
              <w:spacing w:line="360" w:lineRule="auto"/>
              <w:jc w:val="both"/>
              <w:rPr>
                <w:sz w:val="24"/>
                <w:szCs w:val="24"/>
              </w:rPr>
            </w:pPr>
            <w:r w:rsidRPr="00406381">
              <w:rPr>
                <w:sz w:val="24"/>
                <w:szCs w:val="24"/>
              </w:rPr>
              <w:t>Человек/семья</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t>1</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Пенсионный возраст</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Обусловленные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Трудовая пенсия</w:t>
            </w:r>
            <w:r w:rsidR="00A342CA">
              <w:rPr>
                <w:sz w:val="24"/>
                <w:szCs w:val="24"/>
              </w:rPr>
              <w:t xml:space="preserve"> (с января 2015 года – страховая и накопительная пенсии)</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t>2</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Инвалидность</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Случайные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Страхование, рисковая пенсия</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 страхование</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t>3</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Смерть кормильца</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Случайные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Страхование, рисковая пенсия</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 страхование</w:t>
            </w:r>
          </w:p>
        </w:tc>
      </w:tr>
      <w:tr w:rsidR="00E87860" w:rsidRPr="00406381" w:rsidTr="00E87860">
        <w:trPr>
          <w:cantSplit/>
        </w:trPr>
        <w:tc>
          <w:tcPr>
            <w:tcW w:w="568" w:type="dxa"/>
          </w:tcPr>
          <w:p w:rsidR="00E87860" w:rsidRPr="00406381" w:rsidRDefault="00E87860" w:rsidP="00E87860">
            <w:pPr>
              <w:pStyle w:val="aa"/>
              <w:spacing w:line="360" w:lineRule="auto"/>
              <w:ind w:firstLine="709"/>
              <w:jc w:val="both"/>
              <w:rPr>
                <w:sz w:val="24"/>
                <w:szCs w:val="24"/>
              </w:rPr>
            </w:pPr>
            <w:r w:rsidRPr="00406381">
              <w:rPr>
                <w:sz w:val="24"/>
                <w:szCs w:val="24"/>
              </w:rPr>
              <w:lastRenderedPageBreak/>
              <w:t>4</w:t>
            </w:r>
          </w:p>
        </w:tc>
        <w:tc>
          <w:tcPr>
            <w:tcW w:w="1984" w:type="dxa"/>
          </w:tcPr>
          <w:p w:rsidR="00E87860" w:rsidRPr="00406381" w:rsidRDefault="00E87860" w:rsidP="00E87860">
            <w:pPr>
              <w:pStyle w:val="aa"/>
              <w:spacing w:line="360" w:lineRule="auto"/>
              <w:jc w:val="both"/>
              <w:rPr>
                <w:sz w:val="24"/>
                <w:szCs w:val="24"/>
              </w:rPr>
            </w:pPr>
            <w:r w:rsidRPr="00406381">
              <w:rPr>
                <w:sz w:val="24"/>
                <w:szCs w:val="24"/>
              </w:rPr>
              <w:t>Снижение пенсионного возраста по условиям труда</w:t>
            </w:r>
          </w:p>
        </w:tc>
        <w:tc>
          <w:tcPr>
            <w:tcW w:w="1730" w:type="dxa"/>
          </w:tcPr>
          <w:p w:rsidR="00E87860" w:rsidRPr="00406381" w:rsidRDefault="00E87860" w:rsidP="00E87860">
            <w:pPr>
              <w:pStyle w:val="aa"/>
              <w:spacing w:line="360" w:lineRule="auto"/>
              <w:jc w:val="both"/>
              <w:rPr>
                <w:sz w:val="24"/>
                <w:szCs w:val="24"/>
              </w:rPr>
            </w:pPr>
            <w:r w:rsidRPr="00406381">
              <w:rPr>
                <w:sz w:val="24"/>
                <w:szCs w:val="24"/>
              </w:rPr>
              <w:t>Обусловленные</w:t>
            </w:r>
          </w:p>
        </w:tc>
        <w:tc>
          <w:tcPr>
            <w:tcW w:w="1672" w:type="dxa"/>
          </w:tcPr>
          <w:p w:rsidR="00E87860" w:rsidRPr="00406381" w:rsidRDefault="00E87860" w:rsidP="00E87860">
            <w:pPr>
              <w:pStyle w:val="aa"/>
              <w:spacing w:line="360" w:lineRule="auto"/>
              <w:jc w:val="both"/>
              <w:rPr>
                <w:sz w:val="24"/>
                <w:szCs w:val="24"/>
              </w:rPr>
            </w:pPr>
            <w:r w:rsidRPr="00406381">
              <w:rPr>
                <w:sz w:val="24"/>
                <w:szCs w:val="24"/>
              </w:rPr>
              <w:t>Социальная пенсия</w:t>
            </w:r>
          </w:p>
        </w:tc>
        <w:tc>
          <w:tcPr>
            <w:tcW w:w="1748" w:type="dxa"/>
          </w:tcPr>
          <w:p w:rsidR="00E87860" w:rsidRPr="00406381" w:rsidRDefault="00E87860" w:rsidP="00E87860">
            <w:pPr>
              <w:pStyle w:val="aa"/>
              <w:spacing w:line="360" w:lineRule="auto"/>
              <w:jc w:val="both"/>
              <w:rPr>
                <w:sz w:val="24"/>
                <w:szCs w:val="24"/>
              </w:rPr>
            </w:pPr>
            <w:r w:rsidRPr="00406381">
              <w:rPr>
                <w:sz w:val="24"/>
                <w:szCs w:val="24"/>
              </w:rPr>
              <w:t>Трудовая пенсия</w:t>
            </w:r>
            <w:r w:rsidR="00A342CA">
              <w:rPr>
                <w:sz w:val="24"/>
                <w:szCs w:val="24"/>
              </w:rPr>
              <w:t xml:space="preserve"> (с января 2015 года – страховая и накопительная пенсии)</w:t>
            </w:r>
            <w:r w:rsidRPr="00406381">
              <w:rPr>
                <w:sz w:val="24"/>
                <w:szCs w:val="24"/>
              </w:rPr>
              <w:t>, страхование</w:t>
            </w:r>
          </w:p>
        </w:tc>
        <w:tc>
          <w:tcPr>
            <w:tcW w:w="1800" w:type="dxa"/>
          </w:tcPr>
          <w:p w:rsidR="00E87860" w:rsidRPr="00406381" w:rsidRDefault="00E87860" w:rsidP="00E87860">
            <w:pPr>
              <w:pStyle w:val="aa"/>
              <w:spacing w:line="360" w:lineRule="auto"/>
              <w:jc w:val="both"/>
              <w:rPr>
                <w:sz w:val="24"/>
                <w:szCs w:val="24"/>
              </w:rPr>
            </w:pPr>
            <w:r w:rsidRPr="00406381">
              <w:rPr>
                <w:sz w:val="24"/>
                <w:szCs w:val="24"/>
              </w:rPr>
              <w:t>Накопления, страхование</w:t>
            </w:r>
          </w:p>
        </w:tc>
      </w:tr>
    </w:tbl>
    <w:p w:rsidR="00E87860" w:rsidRPr="00406381" w:rsidRDefault="00E87860" w:rsidP="00E87860">
      <w:pPr>
        <w:pStyle w:val="a0"/>
        <w:spacing w:line="360" w:lineRule="auto"/>
        <w:ind w:firstLine="709"/>
        <w:jc w:val="both"/>
        <w:rPr>
          <w:szCs w:val="24"/>
          <w:lang w:val="en-US"/>
        </w:rPr>
      </w:pPr>
    </w:p>
    <w:p w:rsidR="00E87860" w:rsidRPr="00406381" w:rsidRDefault="00E87860" w:rsidP="00E87860">
      <w:pPr>
        <w:pStyle w:val="a0"/>
        <w:spacing w:line="360" w:lineRule="auto"/>
        <w:ind w:firstLine="709"/>
        <w:jc w:val="both"/>
        <w:rPr>
          <w:szCs w:val="24"/>
        </w:rPr>
      </w:pPr>
      <w:r w:rsidRPr="00406381">
        <w:rPr>
          <w:szCs w:val="24"/>
        </w:rPr>
        <w:t xml:space="preserve">Как видим, средства защиты ЭБЧ формируются на трех уровнях: государство, работодатель и </w:t>
      </w:r>
      <w:r>
        <w:rPr>
          <w:szCs w:val="24"/>
        </w:rPr>
        <w:t>гражданин</w:t>
      </w:r>
      <w:r w:rsidRPr="00406381">
        <w:rPr>
          <w:szCs w:val="24"/>
        </w:rPr>
        <w:t>. Соответственно, на каждом уровне пенсионное обеспечение имеет свои институционные функции.</w:t>
      </w:r>
    </w:p>
    <w:p w:rsidR="00E87860" w:rsidRPr="00406381" w:rsidRDefault="00E87860" w:rsidP="00E87860">
      <w:pPr>
        <w:pStyle w:val="a0"/>
        <w:spacing w:line="360" w:lineRule="auto"/>
        <w:ind w:firstLine="709"/>
        <w:jc w:val="both"/>
        <w:rPr>
          <w:szCs w:val="24"/>
        </w:rPr>
      </w:pPr>
      <w:proofErr w:type="gramStart"/>
      <w:r w:rsidRPr="00406381">
        <w:rPr>
          <w:szCs w:val="24"/>
        </w:rPr>
        <w:t>В настоящее время в России экономическая природа действующего механ</w:t>
      </w:r>
      <w:r>
        <w:rPr>
          <w:szCs w:val="24"/>
        </w:rPr>
        <w:t>изма назначения пенсий фактически соответствует</w:t>
      </w:r>
      <w:r w:rsidRPr="00406381">
        <w:rPr>
          <w:szCs w:val="24"/>
        </w:rPr>
        <w:t xml:space="preserve"> социалистической модели распределительных отношений: основная часть затрат ложится на общество (государство выступает как монопольный собственник и работодатель), а конкретные предприниматели, работодатели и предприятия не несут в полной мере экономической ответственности за нанесенный здоровью их работников</w:t>
      </w:r>
      <w:r>
        <w:rPr>
          <w:szCs w:val="24"/>
        </w:rPr>
        <w:t xml:space="preserve"> ущерб</w:t>
      </w:r>
      <w:r w:rsidRPr="00406381">
        <w:rPr>
          <w:szCs w:val="24"/>
        </w:rPr>
        <w:t>.</w:t>
      </w:r>
      <w:proofErr w:type="gramEnd"/>
    </w:p>
    <w:p w:rsidR="00E87860" w:rsidRPr="00406381" w:rsidRDefault="00E87860" w:rsidP="00E87860">
      <w:pPr>
        <w:pStyle w:val="a0"/>
        <w:spacing w:line="360" w:lineRule="auto"/>
        <w:ind w:firstLine="709"/>
        <w:jc w:val="both"/>
        <w:rPr>
          <w:szCs w:val="24"/>
        </w:rPr>
      </w:pPr>
      <w:r w:rsidRPr="00406381">
        <w:rPr>
          <w:szCs w:val="24"/>
        </w:rPr>
        <w:t>В экономике с развитыми рыночными отношениями, в основе которых лежат принципы индивидуальной ответственности работодателей за утрату трудоспособности наемных работников, применение действующей в России системы пенсионного обеспечения просто невозможно. Никто не вправе устанавливать какие-либо привилегии одним категориям застрахованных и пенсионеров за счет других.</w:t>
      </w:r>
    </w:p>
    <w:p w:rsidR="00E87860" w:rsidRPr="00406381" w:rsidRDefault="00E87860" w:rsidP="00E87860">
      <w:pPr>
        <w:pStyle w:val="a0"/>
        <w:spacing w:line="360" w:lineRule="auto"/>
        <w:ind w:firstLine="709"/>
        <w:jc w:val="both"/>
        <w:rPr>
          <w:szCs w:val="24"/>
        </w:rPr>
      </w:pPr>
      <w:r w:rsidRPr="00406381">
        <w:rPr>
          <w:szCs w:val="24"/>
        </w:rPr>
        <w:t xml:space="preserve">Сегодня возрастает роль трудовых коллективов, профсоюзов и самого человека в обеспечении своей </w:t>
      </w:r>
      <w:r w:rsidRPr="00406381">
        <w:rPr>
          <w:i/>
          <w:szCs w:val="24"/>
        </w:rPr>
        <w:t>экономической безопасности</w:t>
      </w:r>
      <w:r w:rsidRPr="00406381">
        <w:rPr>
          <w:szCs w:val="24"/>
        </w:rPr>
        <w:t xml:space="preserve"> в будущем при выходе на пенсию. </w:t>
      </w:r>
      <w:r>
        <w:rPr>
          <w:szCs w:val="24"/>
        </w:rPr>
        <w:t xml:space="preserve">Через </w:t>
      </w:r>
      <w:r w:rsidRPr="00406381">
        <w:rPr>
          <w:szCs w:val="24"/>
        </w:rPr>
        <w:t xml:space="preserve">профессиональные пенсионные системы предприятия, </w:t>
      </w:r>
      <w:r>
        <w:rPr>
          <w:szCs w:val="24"/>
        </w:rPr>
        <w:t>негосударственные пенсионные фонды (</w:t>
      </w:r>
      <w:r w:rsidRPr="00406381">
        <w:rPr>
          <w:szCs w:val="24"/>
        </w:rPr>
        <w:t>НПФ</w:t>
      </w:r>
      <w:r>
        <w:rPr>
          <w:szCs w:val="24"/>
        </w:rPr>
        <w:t>)</w:t>
      </w:r>
      <w:r w:rsidRPr="00406381">
        <w:rPr>
          <w:szCs w:val="24"/>
        </w:rPr>
        <w:t>, коллективные договоры, страхование жизни и личные сбережения</w:t>
      </w:r>
      <w:r>
        <w:rPr>
          <w:szCs w:val="24"/>
        </w:rPr>
        <w:t xml:space="preserve">  (отчисления в НПФ, страховки и банковские вклады) можно </w:t>
      </w:r>
      <w:r w:rsidRPr="00406381">
        <w:rPr>
          <w:szCs w:val="24"/>
        </w:rPr>
        <w:t>обеспечить себе достойную старость. Современной законодательной базы, прав граждан, закрепленных в нашей Конституции, и существующих финансовых институтов достаточно, чтобы за период трудовой деятельности вместе с работодателем гарантированно накопить средства на пенсию, застраховаться от неожиданных несчастий и случайных неприятностей, накопив денег на старость и для того, чтобы передать их следующему поколению.</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F24759" w:rsidRDefault="00F24759" w:rsidP="00F24759">
      <w:pPr>
        <w:spacing w:after="0" w:line="360" w:lineRule="auto"/>
        <w:ind w:firstLine="709"/>
        <w:jc w:val="center"/>
        <w:rPr>
          <w:rFonts w:ascii="Times New Roman" w:hAnsi="Times New Roman" w:cs="Times New Roman"/>
          <w:b/>
          <w:sz w:val="28"/>
          <w:szCs w:val="28"/>
        </w:rPr>
      </w:pPr>
      <w:r w:rsidRPr="00E87860">
        <w:rPr>
          <w:rFonts w:ascii="Times New Roman" w:hAnsi="Times New Roman" w:cs="Times New Roman"/>
          <w:b/>
          <w:sz w:val="28"/>
          <w:szCs w:val="28"/>
        </w:rPr>
        <w:t>Позаботьтесь о своем будущем</w:t>
      </w:r>
    </w:p>
    <w:p w:rsidR="00F24759" w:rsidRPr="00E87860" w:rsidRDefault="00F24759" w:rsidP="00F24759">
      <w:pPr>
        <w:spacing w:after="0" w:line="360" w:lineRule="auto"/>
        <w:ind w:firstLine="709"/>
        <w:jc w:val="center"/>
        <w:rPr>
          <w:rFonts w:ascii="Times New Roman" w:hAnsi="Times New Roman" w:cs="Times New Roman"/>
          <w:b/>
          <w:sz w:val="28"/>
          <w:szCs w:val="28"/>
        </w:rPr>
      </w:pPr>
    </w:p>
    <w:p w:rsidR="00F24759" w:rsidRPr="00E87860" w:rsidRDefault="00F24759" w:rsidP="00F24759">
      <w:pPr>
        <w:spacing w:after="0" w:line="360" w:lineRule="auto"/>
        <w:ind w:firstLine="709"/>
        <w:jc w:val="both"/>
        <w:rPr>
          <w:rFonts w:ascii="Times New Roman" w:hAnsi="Times New Roman" w:cs="Times New Roman"/>
          <w:b/>
          <w:sz w:val="24"/>
          <w:szCs w:val="24"/>
        </w:rPr>
      </w:pPr>
    </w:p>
    <w:p w:rsidR="00F24759" w:rsidRPr="00E87860" w:rsidRDefault="00F24759" w:rsidP="00F24759">
      <w:pPr>
        <w:spacing w:after="0" w:line="360" w:lineRule="auto"/>
        <w:ind w:firstLine="709"/>
        <w:jc w:val="right"/>
        <w:rPr>
          <w:rFonts w:ascii="Times New Roman" w:hAnsi="Times New Roman" w:cs="Times New Roman"/>
          <w:b/>
          <w:i/>
          <w:sz w:val="24"/>
          <w:szCs w:val="24"/>
        </w:rPr>
      </w:pPr>
      <w:r w:rsidRPr="00E87860">
        <w:rPr>
          <w:rFonts w:ascii="Times New Roman" w:hAnsi="Times New Roman" w:cs="Times New Roman"/>
          <w:b/>
          <w:i/>
          <w:sz w:val="24"/>
          <w:szCs w:val="24"/>
        </w:rPr>
        <w:t>Иван Викторович Заргарян</w:t>
      </w:r>
    </w:p>
    <w:p w:rsidR="00F24759" w:rsidRDefault="00F24759" w:rsidP="00F24759">
      <w:pPr>
        <w:spacing w:after="0" w:line="360" w:lineRule="auto"/>
        <w:ind w:firstLine="709"/>
        <w:jc w:val="right"/>
        <w:rPr>
          <w:rFonts w:ascii="Times New Roman" w:hAnsi="Times New Roman" w:cs="Times New Roman"/>
          <w:i/>
          <w:sz w:val="24"/>
          <w:szCs w:val="24"/>
        </w:rPr>
      </w:pPr>
      <w:r w:rsidRPr="00E87860">
        <w:rPr>
          <w:rFonts w:ascii="Times New Roman" w:hAnsi="Times New Roman" w:cs="Times New Roman"/>
          <w:i/>
          <w:sz w:val="24"/>
          <w:szCs w:val="24"/>
        </w:rPr>
        <w:t>главный редактор журнала «Пенсионное обозрение»</w:t>
      </w:r>
    </w:p>
    <w:p w:rsidR="00F24759" w:rsidRPr="00E87860" w:rsidRDefault="00F24759" w:rsidP="00F24759">
      <w:pPr>
        <w:spacing w:after="0" w:line="360" w:lineRule="auto"/>
        <w:ind w:firstLine="709"/>
        <w:jc w:val="right"/>
        <w:rPr>
          <w:rFonts w:ascii="Times New Roman" w:hAnsi="Times New Roman" w:cs="Times New Roman"/>
          <w:i/>
          <w:sz w:val="24"/>
          <w:szCs w:val="24"/>
        </w:rPr>
      </w:pPr>
    </w:p>
    <w:p w:rsidR="00F24759" w:rsidRPr="00E87860" w:rsidRDefault="00F24759" w:rsidP="00F24759">
      <w:pPr>
        <w:spacing w:after="0" w:line="360" w:lineRule="auto"/>
        <w:ind w:firstLine="709"/>
        <w:jc w:val="right"/>
        <w:rPr>
          <w:rFonts w:ascii="Times New Roman" w:hAnsi="Times New Roman" w:cs="Times New Roman"/>
          <w:sz w:val="24"/>
          <w:szCs w:val="24"/>
        </w:rPr>
      </w:pP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Характерной особенностью пенсионной системы постсоветской России является ее перманентное реформирование. На старт «выруливает» очередная, шестая по счету, реформация. В силу обстоятельств, о которых я расскажу ниже, полет не предполагает длительности и комфортабельности. </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Столь частые преобразования свидетельствуют о фрагментарности и непродуманности концепций, безответственности реформаторов, а также потере доверия граждан к правительственным и пенсионным институтам. Что  касается индифферентности чиновников-реформаторов, то она вполне объяснима,- в отличие от большинства россиян им гарантирована пенсия в размере 75% от заработной платы и эта формула не претерпевает изменений, а зарплата имеет обыкновение постоянно повышаться.</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Среди новаций, которые предусмотрены последней пенсионной  реформой, следует отметить:</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введение новой формулы для расчета пенсии;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ликвидацию обязательности накопительной компоненты пенсии;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акционирование негосударственных пенсионных фондов (НПФ);</w:t>
      </w:r>
    </w:p>
    <w:p w:rsidR="00F24759" w:rsidRPr="00E87860" w:rsidRDefault="00F24759" w:rsidP="00F24759">
      <w:pPr>
        <w:spacing w:after="0" w:line="360" w:lineRule="auto"/>
        <w:ind w:firstLine="709"/>
        <w:jc w:val="both"/>
        <w:rPr>
          <w:rFonts w:ascii="Times New Roman" w:hAnsi="Times New Roman" w:cs="Times New Roman"/>
          <w:sz w:val="24"/>
          <w:szCs w:val="24"/>
        </w:rPr>
      </w:pPr>
      <w:proofErr w:type="gramStart"/>
      <w:r w:rsidRPr="00E87860">
        <w:rPr>
          <w:rFonts w:ascii="Times New Roman" w:hAnsi="Times New Roman" w:cs="Times New Roman"/>
          <w:sz w:val="24"/>
          <w:szCs w:val="24"/>
        </w:rPr>
        <w:t>- отмену перечисления средств пенсионных накоплений застрахованных лиц за 2013 и 2014 годы в выбранные ими НПФ и использование этих денег для финансирования текущих пенсий.</w:t>
      </w:r>
      <w:proofErr w:type="gramEnd"/>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Освоить новую пенсионную формулу (рассчитать свою будущую пенсию), включающую 16 (!) показателей с условными и безусловными коэффициентами, по силе, пожалуй, только гражданам с солидной математической подготовкой. </w:t>
      </w:r>
      <w:proofErr w:type="gramStart"/>
      <w:r w:rsidRPr="00E87860">
        <w:rPr>
          <w:rFonts w:ascii="Times New Roman" w:hAnsi="Times New Roman" w:cs="Times New Roman"/>
          <w:sz w:val="24"/>
          <w:szCs w:val="24"/>
        </w:rPr>
        <w:t xml:space="preserve">Для облегчения участи будущих пенсионеров предлагаю упрощенную формулировку, являющуюся переложением известной Формулы мирового гения: сколько бы энергии и материи (денежных знаков) вы не затратили на накопление пенсии и с какой бы скоростью этого не делали, масса денег, которую вы получите в виде пенсии, будет зависеть от массы </w:t>
      </w:r>
      <w:r w:rsidRPr="00E87860">
        <w:rPr>
          <w:rFonts w:ascii="Times New Roman" w:hAnsi="Times New Roman" w:cs="Times New Roman"/>
          <w:sz w:val="24"/>
          <w:szCs w:val="24"/>
        </w:rPr>
        <w:lastRenderedPageBreak/>
        <w:t>денег, имеющихся в Пенсионном фонде на момент ее выплаты вам.</w:t>
      </w:r>
      <w:proofErr w:type="gramEnd"/>
      <w:r w:rsidRPr="00E87860">
        <w:rPr>
          <w:rFonts w:ascii="Times New Roman" w:hAnsi="Times New Roman" w:cs="Times New Roman"/>
          <w:sz w:val="24"/>
          <w:szCs w:val="24"/>
        </w:rPr>
        <w:t xml:space="preserve"> Понятно, что при надвигающемся демографическом кризисе и ухудшении дел в экономике, эта масса будет незначительной.</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По остальным новшествам хотел бы высказать следующее. Основной причиной сворачивания накопительной составляющей, на мой взгляд, является то, что правительство не представляет, куда следует направлять средства пенсионных накоплений и как заставить их работать на экономику. Вместе с тем общеизвестно: совокупные национальные накопления приводят к увеличению инвестиций и экономическому росту. Положение, когда нынешнее поколение мало инвестирует и не создает накоплений, приведет к тому, что будущему поколению будет передан меньший капитал, а стало </w:t>
      </w:r>
      <w:proofErr w:type="gramStart"/>
      <w:r w:rsidRPr="00E87860">
        <w:rPr>
          <w:rFonts w:ascii="Times New Roman" w:hAnsi="Times New Roman" w:cs="Times New Roman"/>
          <w:sz w:val="24"/>
          <w:szCs w:val="24"/>
        </w:rPr>
        <w:t>быть</w:t>
      </w:r>
      <w:proofErr w:type="gramEnd"/>
      <w:r w:rsidRPr="00E87860">
        <w:rPr>
          <w:rFonts w:ascii="Times New Roman" w:hAnsi="Times New Roman" w:cs="Times New Roman"/>
          <w:sz w:val="24"/>
          <w:szCs w:val="24"/>
        </w:rPr>
        <w:t xml:space="preserve"> ему придется воспользоваться другой «пенсионной» формулой: «живой работает до конца». Ставка на распределительную систему в условиях «поседения» населения в стране, где большинство граждан (73% по данным ВЦИОМа) - стойкие приверженцы патернализма, на мой взгляд, способно в недалеком будущем спровоцировать серьезные неприятности. Весьма определенно по этому поводу высказался гуру менеджмента П. </w:t>
      </w:r>
      <w:proofErr w:type="spellStart"/>
      <w:r w:rsidRPr="00E87860">
        <w:rPr>
          <w:rFonts w:ascii="Times New Roman" w:hAnsi="Times New Roman" w:cs="Times New Roman"/>
          <w:sz w:val="24"/>
          <w:szCs w:val="24"/>
        </w:rPr>
        <w:t>Друкер</w:t>
      </w:r>
      <w:proofErr w:type="spellEnd"/>
      <w:r w:rsidRPr="00E87860">
        <w:rPr>
          <w:rFonts w:ascii="Times New Roman" w:hAnsi="Times New Roman" w:cs="Times New Roman"/>
          <w:sz w:val="24"/>
          <w:szCs w:val="24"/>
        </w:rPr>
        <w:t>: «помехи на пути накопления капитала – роскошь, которую общество с солидарной пенсионной системой едва ли может себе позволить».</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Требование акционирования НПФ для сохранения пенсионных накоплений неубедительно. Во всяком случае, данных исследований, подтверждающих обязательность выполнения этого требования, нет.</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Что касается использования средств пенсионных накоплений застрахованных лиц за 2013 и 2014 годы для покрытия дефицита текущих пенсионных обязательств, то оно, мягко говоря, вряд ли укрепит доверие вышеуказанных лиц к пенсионной политике государства, не позволит повысить эффективность экономики страны и вряд ли компенсирует предполагаемый доход на эти средства.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новой пенсионной концепции не нашла отражение проблема старения населения, в то время как для мировых пенсионных систем она приоритетна. Механизм </w:t>
      </w:r>
      <w:proofErr w:type="spellStart"/>
      <w:r w:rsidRPr="00E87860">
        <w:rPr>
          <w:rFonts w:ascii="Times New Roman" w:hAnsi="Times New Roman" w:cs="Times New Roman"/>
          <w:sz w:val="24"/>
          <w:szCs w:val="24"/>
        </w:rPr>
        <w:t>межпоколенческого</w:t>
      </w:r>
      <w:proofErr w:type="spellEnd"/>
      <w:r w:rsidRPr="00E87860">
        <w:rPr>
          <w:rFonts w:ascii="Times New Roman" w:hAnsi="Times New Roman" w:cs="Times New Roman"/>
          <w:sz w:val="24"/>
          <w:szCs w:val="24"/>
        </w:rPr>
        <w:t xml:space="preserve"> перераспределения средств, основанный на принципах солидарности поколений, перестает быть эффективным и справедливым (</w:t>
      </w:r>
      <w:proofErr w:type="gramStart"/>
      <w:r w:rsidRPr="00E87860">
        <w:rPr>
          <w:rFonts w:ascii="Times New Roman" w:hAnsi="Times New Roman" w:cs="Times New Roman"/>
          <w:sz w:val="24"/>
          <w:szCs w:val="24"/>
        </w:rPr>
        <w:t>наша</w:t>
      </w:r>
      <w:proofErr w:type="gramEnd"/>
      <w:r w:rsidRPr="00E87860">
        <w:rPr>
          <w:rFonts w:ascii="Times New Roman" w:hAnsi="Times New Roman" w:cs="Times New Roman"/>
          <w:sz w:val="24"/>
          <w:szCs w:val="24"/>
        </w:rPr>
        <w:t xml:space="preserve"> реформаторы упорно игнорируют этот факт). Еще десять лет назад главный экономист ОЭСР Жан-Филипп </w:t>
      </w:r>
      <w:proofErr w:type="spellStart"/>
      <w:r w:rsidRPr="00E87860">
        <w:rPr>
          <w:rFonts w:ascii="Times New Roman" w:hAnsi="Times New Roman" w:cs="Times New Roman"/>
          <w:sz w:val="24"/>
          <w:szCs w:val="24"/>
        </w:rPr>
        <w:t>Коти</w:t>
      </w:r>
      <w:proofErr w:type="spellEnd"/>
      <w:r w:rsidRPr="00E87860">
        <w:rPr>
          <w:rFonts w:ascii="Times New Roman" w:hAnsi="Times New Roman" w:cs="Times New Roman"/>
          <w:sz w:val="24"/>
          <w:szCs w:val="24"/>
        </w:rPr>
        <w:t xml:space="preserve"> предупредил, что «если адекватно не подготовиться к реальности старения населения, то мы завещаем своим детям мизерный запас капитала</w:t>
      </w:r>
      <w:proofErr w:type="gramStart"/>
      <w:r w:rsidRPr="00E87860">
        <w:rPr>
          <w:rFonts w:ascii="Times New Roman" w:hAnsi="Times New Roman" w:cs="Times New Roman"/>
          <w:sz w:val="24"/>
          <w:szCs w:val="24"/>
        </w:rPr>
        <w:t xml:space="preserve">.. </w:t>
      </w:r>
      <w:proofErr w:type="gramEnd"/>
      <w:r w:rsidRPr="00E87860">
        <w:rPr>
          <w:rFonts w:ascii="Times New Roman" w:hAnsi="Times New Roman" w:cs="Times New Roman"/>
          <w:sz w:val="24"/>
          <w:szCs w:val="24"/>
        </w:rPr>
        <w:t>Мы жертвуем нашими детьми».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lastRenderedPageBreak/>
        <w:t xml:space="preserve">Крупнейшие ученые, в том числе Нобелевские лауреаты по экономике, видные специалисты, политические деятели, национальные и международные институты ищут возможные пути  разрешения этой проблемы. Экономические исследования определения оптимального </w:t>
      </w:r>
      <w:proofErr w:type="spellStart"/>
      <w:r w:rsidRPr="00E87860">
        <w:rPr>
          <w:rFonts w:ascii="Times New Roman" w:hAnsi="Times New Roman" w:cs="Times New Roman"/>
          <w:sz w:val="24"/>
          <w:szCs w:val="24"/>
        </w:rPr>
        <w:t>межпоколенческого</w:t>
      </w:r>
      <w:proofErr w:type="spellEnd"/>
      <w:r w:rsidRPr="00E87860">
        <w:rPr>
          <w:rFonts w:ascii="Times New Roman" w:hAnsi="Times New Roman" w:cs="Times New Roman"/>
          <w:sz w:val="24"/>
          <w:szCs w:val="24"/>
        </w:rPr>
        <w:t xml:space="preserve"> распределения природных ресурсов, капитала и различных видов ответственности – главная задача XXI века. </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Молодым людям нашей страны пора озаботиться проблемой своего будущего, начать учитывать личные риски старости - и чем раньше, тем лучше. Необходимость ранней подготовки к старости обусловлена: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увеличением продолжительности жизни (требует больших накоплений);</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высокой стоимостью высокотехнологичных и индивидуальных медицинских услуг (поддержание здоровья и лечение на протяжении всей жизни, особенно в старости);</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уменьшением стоимости природного капитала;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 бесконечными реформациями и модернизациями пенсионной системы, сулящими в будущем максимум 2-3 </w:t>
      </w:r>
      <w:proofErr w:type="gramStart"/>
      <w:r w:rsidRPr="00E87860">
        <w:rPr>
          <w:rFonts w:ascii="Times New Roman" w:hAnsi="Times New Roman" w:cs="Times New Roman"/>
          <w:sz w:val="24"/>
          <w:szCs w:val="24"/>
        </w:rPr>
        <w:t>прожиточных</w:t>
      </w:r>
      <w:proofErr w:type="gramEnd"/>
      <w:r w:rsidRPr="00E87860">
        <w:rPr>
          <w:rFonts w:ascii="Times New Roman" w:hAnsi="Times New Roman" w:cs="Times New Roman"/>
          <w:sz w:val="24"/>
          <w:szCs w:val="24"/>
        </w:rPr>
        <w:t xml:space="preserve"> минимума.</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Энергичные, свободные, инициативные молодые люди, меняйте парадигму «здесь и сейчас» на парадигму «создай свое будущее». Усматривайте в государстве не источник благ, а гарантию прав и свобод</w:t>
      </w:r>
      <w:proofErr w:type="gramStart"/>
      <w:r w:rsidRPr="00E87860">
        <w:rPr>
          <w:rFonts w:ascii="Times New Roman" w:hAnsi="Times New Roman" w:cs="Times New Roman"/>
          <w:sz w:val="24"/>
          <w:szCs w:val="24"/>
        </w:rPr>
        <w:t xml:space="preserve">.. </w:t>
      </w:r>
      <w:proofErr w:type="gramEnd"/>
      <w:r w:rsidRPr="00E87860">
        <w:rPr>
          <w:rFonts w:ascii="Times New Roman" w:hAnsi="Times New Roman" w:cs="Times New Roman"/>
          <w:sz w:val="24"/>
          <w:szCs w:val="24"/>
        </w:rPr>
        <w:t>Овладевайте культурой личного финансового планирования и инвестирования, постоянно совершенствуйте знания и навыки, возьмите на себя ответственность за собственное здоровье и благополучие.</w:t>
      </w:r>
    </w:p>
    <w:p w:rsidR="00F24759" w:rsidRPr="00E87860" w:rsidRDefault="00F24759" w:rsidP="00F24759">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В заключение хочу привести высказывание известного психолога и философа Р. Уилсона: «будущее существует сначала в воображении, потом в воле и, наконец, в реальности».</w:t>
      </w:r>
    </w:p>
    <w:p w:rsidR="00F24759" w:rsidRDefault="00F24759" w:rsidP="00F24759">
      <w:pPr>
        <w:spacing w:after="0" w:line="360" w:lineRule="auto"/>
        <w:ind w:firstLine="709"/>
        <w:jc w:val="both"/>
      </w:pPr>
    </w:p>
    <w:p w:rsidR="00F24759" w:rsidRDefault="00F24759" w:rsidP="00F24759">
      <w:pPr>
        <w:spacing w:after="0" w:line="360" w:lineRule="auto"/>
        <w:ind w:firstLine="709"/>
        <w:jc w:val="both"/>
      </w:pPr>
    </w:p>
    <w:p w:rsidR="00F24759" w:rsidRDefault="00F24759" w:rsidP="00F24759">
      <w:pPr>
        <w:spacing w:after="0" w:line="360" w:lineRule="auto"/>
        <w:ind w:firstLine="709"/>
        <w:jc w:val="both"/>
      </w:pPr>
    </w:p>
    <w:p w:rsidR="00F24759" w:rsidRDefault="00F24759" w:rsidP="00F24759">
      <w:pPr>
        <w:spacing w:after="0" w:line="360" w:lineRule="auto"/>
        <w:ind w:firstLine="709"/>
        <w:jc w:val="both"/>
      </w:pPr>
    </w:p>
    <w:p w:rsidR="00F24759" w:rsidRPr="0016372C" w:rsidRDefault="00F24759" w:rsidP="00F24759">
      <w:pPr>
        <w:spacing w:after="0" w:line="360" w:lineRule="auto"/>
        <w:ind w:firstLine="709"/>
        <w:jc w:val="both"/>
      </w:pPr>
    </w:p>
    <w:p w:rsidR="00F24759" w:rsidRDefault="00F24759" w:rsidP="00F24759">
      <w:pPr>
        <w:pStyle w:val="1"/>
        <w:spacing w:before="0" w:after="0" w:line="360" w:lineRule="auto"/>
        <w:ind w:firstLine="709"/>
        <w:jc w:val="both"/>
        <w:rPr>
          <w:rFonts w:ascii="Times New Roman" w:hAnsi="Times New Roman"/>
          <w:b/>
          <w:sz w:val="28"/>
          <w:szCs w:val="24"/>
        </w:rPr>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F24759" w:rsidRDefault="00F24759" w:rsidP="00E87860">
      <w:pPr>
        <w:spacing w:after="0" w:line="360" w:lineRule="auto"/>
        <w:ind w:firstLine="709"/>
        <w:jc w:val="both"/>
      </w:pPr>
    </w:p>
    <w:p w:rsidR="00BF3D3F" w:rsidRDefault="00BF3D3F" w:rsidP="00E87860">
      <w:pPr>
        <w:spacing w:after="0" w:line="360" w:lineRule="auto"/>
        <w:ind w:firstLine="709"/>
        <w:jc w:val="both"/>
      </w:pPr>
    </w:p>
    <w:p w:rsidR="00E87860" w:rsidRPr="00E87860" w:rsidRDefault="00E87860" w:rsidP="00E87860">
      <w:pPr>
        <w:spacing w:after="0" w:line="360" w:lineRule="auto"/>
        <w:ind w:firstLine="709"/>
        <w:jc w:val="center"/>
        <w:rPr>
          <w:rFonts w:ascii="Times New Roman" w:hAnsi="Times New Roman" w:cs="Times New Roman"/>
          <w:b/>
          <w:sz w:val="28"/>
          <w:szCs w:val="28"/>
        </w:rPr>
      </w:pPr>
      <w:r w:rsidRPr="00E87860">
        <w:rPr>
          <w:rFonts w:ascii="Times New Roman" w:hAnsi="Times New Roman" w:cs="Times New Roman"/>
          <w:b/>
          <w:sz w:val="28"/>
          <w:szCs w:val="28"/>
        </w:rPr>
        <w:t>Демография и пенсии</w:t>
      </w:r>
    </w:p>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right"/>
        <w:rPr>
          <w:rFonts w:ascii="Times New Roman" w:hAnsi="Times New Roman" w:cs="Times New Roman"/>
          <w:b/>
          <w:i/>
          <w:sz w:val="24"/>
          <w:szCs w:val="24"/>
        </w:rPr>
      </w:pPr>
      <w:r w:rsidRPr="00E87860">
        <w:rPr>
          <w:rFonts w:ascii="Times New Roman" w:hAnsi="Times New Roman" w:cs="Times New Roman"/>
          <w:b/>
          <w:i/>
          <w:sz w:val="24"/>
          <w:szCs w:val="24"/>
        </w:rPr>
        <w:t xml:space="preserve">Дмитрий Владимирович </w:t>
      </w:r>
      <w:proofErr w:type="spellStart"/>
      <w:r w:rsidRPr="00E87860">
        <w:rPr>
          <w:rFonts w:ascii="Times New Roman" w:hAnsi="Times New Roman" w:cs="Times New Roman"/>
          <w:b/>
          <w:i/>
          <w:sz w:val="24"/>
          <w:szCs w:val="24"/>
        </w:rPr>
        <w:t>Помазкин</w:t>
      </w:r>
      <w:proofErr w:type="spellEnd"/>
    </w:p>
    <w:p w:rsidR="00E87860" w:rsidRPr="00E87860" w:rsidRDefault="00E87860" w:rsidP="00E87860">
      <w:pPr>
        <w:spacing w:after="0" w:line="360" w:lineRule="auto"/>
        <w:ind w:firstLine="709"/>
        <w:jc w:val="right"/>
        <w:rPr>
          <w:rFonts w:ascii="Times New Roman" w:hAnsi="Times New Roman" w:cs="Times New Roman"/>
          <w:i/>
          <w:sz w:val="24"/>
          <w:szCs w:val="24"/>
        </w:rPr>
      </w:pPr>
      <w:r w:rsidRPr="00E87860">
        <w:rPr>
          <w:rFonts w:ascii="Times New Roman" w:hAnsi="Times New Roman" w:cs="Times New Roman"/>
          <w:i/>
          <w:sz w:val="24"/>
          <w:szCs w:val="24"/>
        </w:rPr>
        <w:t xml:space="preserve">Руководитель отдела программ </w:t>
      </w:r>
    </w:p>
    <w:p w:rsidR="00E87860" w:rsidRPr="00E87860" w:rsidRDefault="00E87860" w:rsidP="00E87860">
      <w:pPr>
        <w:spacing w:after="0" w:line="360" w:lineRule="auto"/>
        <w:ind w:firstLine="709"/>
        <w:jc w:val="right"/>
        <w:rPr>
          <w:rFonts w:ascii="Times New Roman" w:hAnsi="Times New Roman" w:cs="Times New Roman"/>
          <w:b/>
          <w:color w:val="000000" w:themeColor="text1"/>
          <w:sz w:val="24"/>
          <w:szCs w:val="24"/>
        </w:rPr>
      </w:pPr>
      <w:r w:rsidRPr="00E87860">
        <w:rPr>
          <w:rFonts w:ascii="Times New Roman" w:hAnsi="Times New Roman" w:cs="Times New Roman"/>
          <w:i/>
          <w:sz w:val="24"/>
          <w:szCs w:val="24"/>
        </w:rPr>
        <w:t>развития НПФ «ГАЗФОНД»</w:t>
      </w:r>
    </w:p>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Заметный рост численности населения Земли, наблюдаемый в конце  прошлого и начале нынешнего  века, связан с прогрессом  человечества в области медицины  и  сохранившимся по инерции высоким уровнем рождаемости.  Кроме того, существует еще один немаловажный фактор, который способствовал увеличению численности. Этот фактор связан с половозрастной структурой населения или с распределением численности населения по возрастам. Для большинства стран, если не учитывать демографические волны, структура населения в начале прошлого века по форме напоминала треугольник. Число родившихся было максимальным среди числа людей в  остальных возрастах. Вплоть до середины прошлого века, ширина основания треугольника, на которое опиралась демографическая пирамида,  росла, приводя к увеличению его площади и соответственно к росту численности населения. Для треугольной половозрастной пирамиды  соотношение числа детского населения, трудоспособного и пожилого можно легко представить в виде следующих пропорций. Пусть максимальный возраст равен 100 лет,  а границы между указанными группами проходят через возрасты 20 и 60 лет, разбивая наш треугольник на три фигуры, две нижние  из которых – трапеции,  а верхняя, включающая пожилое население – треугольник.  Пусть основание треугольника или число родившихся детей равно  </w:t>
      </w:r>
      <w:r w:rsidRPr="00E87860">
        <w:rPr>
          <w:rFonts w:ascii="Times New Roman" w:hAnsi="Times New Roman" w:cs="Times New Roman"/>
          <w:b/>
          <w:sz w:val="24"/>
          <w:szCs w:val="24"/>
        </w:rPr>
        <w:t>a</w:t>
      </w:r>
      <w:r w:rsidRPr="00E87860">
        <w:rPr>
          <w:rFonts w:ascii="Times New Roman" w:hAnsi="Times New Roman" w:cs="Times New Roman"/>
          <w:sz w:val="24"/>
          <w:szCs w:val="24"/>
        </w:rPr>
        <w:t>, тогда численность всего населения равна 50*</w:t>
      </w:r>
      <w:r w:rsidRPr="00E87860">
        <w:rPr>
          <w:rFonts w:ascii="Times New Roman" w:hAnsi="Times New Roman" w:cs="Times New Roman"/>
          <w:b/>
          <w:sz w:val="24"/>
          <w:szCs w:val="24"/>
          <w:lang w:val="en-US"/>
        </w:rPr>
        <w:t>a</w:t>
      </w:r>
      <w:r w:rsidRPr="00E87860">
        <w:rPr>
          <w:rFonts w:ascii="Times New Roman" w:hAnsi="Times New Roman" w:cs="Times New Roman"/>
          <w:sz w:val="24"/>
          <w:szCs w:val="24"/>
        </w:rPr>
        <w:t>,  детского населения – 18*</w:t>
      </w:r>
      <w:r w:rsidRPr="00E87860">
        <w:rPr>
          <w:rFonts w:ascii="Times New Roman" w:hAnsi="Times New Roman" w:cs="Times New Roman"/>
          <w:b/>
          <w:sz w:val="24"/>
          <w:szCs w:val="24"/>
          <w:lang w:val="en-US"/>
        </w:rPr>
        <w:t>a</w:t>
      </w:r>
      <w:r w:rsidRPr="00E87860">
        <w:rPr>
          <w:rFonts w:ascii="Times New Roman" w:hAnsi="Times New Roman" w:cs="Times New Roman"/>
          <w:sz w:val="24"/>
          <w:szCs w:val="24"/>
        </w:rPr>
        <w:t>, населения в трудоспособном возрасте – 24*</w:t>
      </w:r>
      <w:r w:rsidRPr="00E87860">
        <w:rPr>
          <w:rFonts w:ascii="Times New Roman" w:hAnsi="Times New Roman" w:cs="Times New Roman"/>
          <w:b/>
          <w:sz w:val="24"/>
          <w:szCs w:val="24"/>
        </w:rPr>
        <w:t>a</w:t>
      </w:r>
      <w:r w:rsidRPr="00E87860">
        <w:rPr>
          <w:rFonts w:ascii="Times New Roman" w:hAnsi="Times New Roman" w:cs="Times New Roman"/>
          <w:sz w:val="24"/>
          <w:szCs w:val="24"/>
        </w:rPr>
        <w:t xml:space="preserve"> и пожилого населения – 8*</w:t>
      </w:r>
      <w:r w:rsidRPr="00E87860">
        <w:rPr>
          <w:rFonts w:ascii="Times New Roman" w:hAnsi="Times New Roman" w:cs="Times New Roman"/>
          <w:b/>
          <w:sz w:val="24"/>
          <w:szCs w:val="24"/>
        </w:rPr>
        <w:t>a</w:t>
      </w:r>
      <w:r w:rsidRPr="00E87860">
        <w:rPr>
          <w:rFonts w:ascii="Times New Roman" w:hAnsi="Times New Roman" w:cs="Times New Roman"/>
          <w:sz w:val="24"/>
          <w:szCs w:val="24"/>
        </w:rPr>
        <w:t xml:space="preserve">. Таким образом, соотношение численности пожилого населения и трудоспособного населения равно 1/3. Назовем это соотношение коэффициентом демографической нагрузки.  Для пенсионной системы это означает, что теоретически одного пенсионера кормит три работника.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По мере снижения уровня смертности в молодых возрастах, треугольная форма стала трансформироваться. Если предположить, что уровень рождаемости будет  равен примерно двум, то со временем форма населения будет напоминать  фигуру, состоящую из прямоугольника  (численность в молодых) возрастах и треугольника (для старших </w:t>
      </w:r>
      <w:r w:rsidRPr="00E87860">
        <w:rPr>
          <w:rFonts w:ascii="Times New Roman" w:hAnsi="Times New Roman" w:cs="Times New Roman"/>
          <w:sz w:val="24"/>
          <w:szCs w:val="24"/>
        </w:rPr>
        <w:lastRenderedPageBreak/>
        <w:t xml:space="preserve">возрастов).   Если  граница между этими фигурами будет также  проходить по возрастной границе 60 лет, то  уровень демографической нагрузки будет равен 0.5.  То есть на одного пенсионера будет приходиться уже два работника.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  Однако снижение смертности </w:t>
      </w:r>
      <w:proofErr w:type="gramStart"/>
      <w:r w:rsidRPr="00E87860">
        <w:rPr>
          <w:rFonts w:ascii="Times New Roman" w:hAnsi="Times New Roman" w:cs="Times New Roman"/>
          <w:sz w:val="24"/>
          <w:szCs w:val="24"/>
        </w:rPr>
        <w:t>с</w:t>
      </w:r>
      <w:proofErr w:type="gramEnd"/>
      <w:r w:rsidRPr="00E87860">
        <w:rPr>
          <w:rFonts w:ascii="Times New Roman" w:hAnsi="Times New Roman" w:cs="Times New Roman"/>
          <w:sz w:val="24"/>
          <w:szCs w:val="24"/>
        </w:rPr>
        <w:t xml:space="preserve"> </w:t>
      </w:r>
      <w:proofErr w:type="gramStart"/>
      <w:r w:rsidRPr="00E87860">
        <w:rPr>
          <w:rFonts w:ascii="Times New Roman" w:hAnsi="Times New Roman" w:cs="Times New Roman"/>
          <w:sz w:val="24"/>
          <w:szCs w:val="24"/>
        </w:rPr>
        <w:t>некоторым</w:t>
      </w:r>
      <w:proofErr w:type="gramEnd"/>
      <w:r w:rsidRPr="00E87860">
        <w:rPr>
          <w:rFonts w:ascii="Times New Roman" w:hAnsi="Times New Roman" w:cs="Times New Roman"/>
          <w:sz w:val="24"/>
          <w:szCs w:val="24"/>
        </w:rPr>
        <w:t xml:space="preserve"> </w:t>
      </w:r>
      <w:proofErr w:type="spellStart"/>
      <w:r w:rsidRPr="00E87860">
        <w:rPr>
          <w:rFonts w:ascii="Times New Roman" w:hAnsi="Times New Roman" w:cs="Times New Roman"/>
          <w:sz w:val="24"/>
          <w:szCs w:val="24"/>
        </w:rPr>
        <w:t>запазданием</w:t>
      </w:r>
      <w:proofErr w:type="spellEnd"/>
      <w:r w:rsidRPr="00E87860">
        <w:rPr>
          <w:rFonts w:ascii="Times New Roman" w:hAnsi="Times New Roman" w:cs="Times New Roman"/>
          <w:sz w:val="24"/>
          <w:szCs w:val="24"/>
        </w:rPr>
        <w:t xml:space="preserve"> привело к снижению рождаемости.  Начиная с  60-х годов прошлого века, коэффициент  рождаемости начал снижаться  в развитых, а  начиная с нынешнего века и в развивающихся странах.  Данный процесс получил название демографического перехода, в результате которого численность населения резко увеличилась. Учитывая сохранение высокого уровня рождаемости в развивающихся странах и  продолжение процесса снижения смертности, численность населения Земли продолжает увеличиваться.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результате демографического перехода демографическая пирамида претерпела дальнейшие изменения. В ряде развитых странах в начале </w:t>
      </w:r>
      <w:r w:rsidRPr="00E87860">
        <w:rPr>
          <w:rFonts w:ascii="Times New Roman" w:hAnsi="Times New Roman" w:cs="Times New Roman"/>
          <w:sz w:val="24"/>
          <w:szCs w:val="24"/>
          <w:lang w:val="en-US"/>
        </w:rPr>
        <w:t>XXI</w:t>
      </w:r>
      <w:r w:rsidRPr="00E87860">
        <w:rPr>
          <w:rFonts w:ascii="Times New Roman" w:hAnsi="Times New Roman" w:cs="Times New Roman"/>
          <w:sz w:val="24"/>
          <w:szCs w:val="24"/>
        </w:rPr>
        <w:t xml:space="preserve"> века численность новорожденных стала составлять около 60% от численности населения в возрасте 30-40 лет, для которого наблюдается максимальная численность. Подобную структуру можно получить, если прямоугольник заменить перевернутой трапецией с основанием в два раза меньшим по размеру, чем верхняя часть. Для подобного распределения уровень демографической нагрузки будет равен 3/5. На самом деле, число работников меньше, поскольку не все находящиеся в трудоспособном возрасте работают. Следовательно,  можно допустить, что на одного пенсионера уже будет приходиться только один работник. Формы распределения приведены в таблице 1.</w:t>
      </w:r>
      <w:r w:rsidRPr="00E87860">
        <w:rPr>
          <w:rFonts w:ascii="Times New Roman" w:hAnsi="Times New Roman" w:cs="Times New Roman"/>
          <w:sz w:val="24"/>
          <w:szCs w:val="24"/>
        </w:rPr>
        <w:br w:type="page"/>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b/>
          <w:sz w:val="24"/>
          <w:szCs w:val="24"/>
        </w:rPr>
        <w:lastRenderedPageBreak/>
        <w:t>Таблица 1</w:t>
      </w:r>
      <w:r w:rsidRPr="00E87860">
        <w:rPr>
          <w:rFonts w:ascii="Times New Roman" w:hAnsi="Times New Roman" w:cs="Times New Roman"/>
          <w:sz w:val="24"/>
          <w:szCs w:val="24"/>
        </w:rPr>
        <w:t>. Формы половозрастного распределения.</w:t>
      </w:r>
    </w:p>
    <w:p w:rsidR="00E87860" w:rsidRPr="00E87860" w:rsidRDefault="00E87860" w:rsidP="00E87860">
      <w:pPr>
        <w:spacing w:after="0" w:line="360" w:lineRule="auto"/>
        <w:ind w:firstLine="709"/>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4785"/>
        <w:gridCol w:w="4786"/>
      </w:tblGrid>
      <w:tr w:rsidR="00E87860" w:rsidRPr="00E87860" w:rsidTr="00116BF3">
        <w:tc>
          <w:tcPr>
            <w:tcW w:w="4785" w:type="dxa"/>
          </w:tcPr>
          <w:p w:rsidR="00E87860" w:rsidRPr="00E87860" w:rsidRDefault="00E87860" w:rsidP="00E87860">
            <w:pPr>
              <w:spacing w:line="360" w:lineRule="auto"/>
              <w:ind w:firstLine="709"/>
              <w:jc w:val="both"/>
              <w:rPr>
                <w:sz w:val="24"/>
                <w:szCs w:val="24"/>
              </w:rPr>
            </w:pPr>
            <w:r w:rsidRPr="00E87860">
              <w:rPr>
                <w:sz w:val="24"/>
                <w:szCs w:val="24"/>
              </w:rPr>
              <w:t>Форма половозрастного распределения</w:t>
            </w:r>
          </w:p>
        </w:tc>
        <w:tc>
          <w:tcPr>
            <w:tcW w:w="4786" w:type="dxa"/>
          </w:tcPr>
          <w:p w:rsidR="00E87860" w:rsidRPr="00E87860" w:rsidRDefault="00E87860" w:rsidP="00E87860">
            <w:pPr>
              <w:spacing w:line="360" w:lineRule="auto"/>
              <w:ind w:firstLine="709"/>
              <w:jc w:val="both"/>
              <w:rPr>
                <w:sz w:val="24"/>
                <w:szCs w:val="24"/>
              </w:rPr>
            </w:pPr>
            <w:r w:rsidRPr="00E87860">
              <w:rPr>
                <w:sz w:val="24"/>
                <w:szCs w:val="24"/>
              </w:rPr>
              <w:t>Коэффициент демографической нагрузки</w:t>
            </w:r>
          </w:p>
        </w:tc>
      </w:tr>
      <w:tr w:rsidR="00E87860" w:rsidRPr="00E87860" w:rsidTr="00116BF3">
        <w:trPr>
          <w:trHeight w:val="1999"/>
        </w:trPr>
        <w:tc>
          <w:tcPr>
            <w:tcW w:w="4785" w:type="dxa"/>
          </w:tcPr>
          <w:p w:rsidR="00E87860" w:rsidRPr="00E87860" w:rsidRDefault="00E87860" w:rsidP="00E87860">
            <w:pPr>
              <w:spacing w:line="360" w:lineRule="auto"/>
              <w:ind w:firstLine="709"/>
              <w:jc w:val="both"/>
              <w:rPr>
                <w:sz w:val="24"/>
                <w:szCs w:val="24"/>
              </w:rPr>
            </w:pPr>
            <w:r w:rsidRPr="00E87860">
              <w:rPr>
                <w:noProof/>
                <w:sz w:val="24"/>
                <w:szCs w:val="24"/>
              </w:rPr>
              <mc:AlternateContent>
                <mc:Choice Requires="wpc">
                  <w:drawing>
                    <wp:inline distT="0" distB="0" distL="0" distR="0" wp14:anchorId="12FAFAB4" wp14:editId="41707547">
                      <wp:extent cx="2171700" cy="1028700"/>
                      <wp:effectExtent l="0" t="0" r="0" b="0"/>
                      <wp:docPr id="12"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10"/>
                              <wps:cNvSpPr>
                                <a:spLocks noChangeArrowheads="1"/>
                              </wps:cNvSpPr>
                              <wps:spPr bwMode="auto">
                                <a:xfrm>
                                  <a:off x="800100" y="228600"/>
                                  <a:ext cx="800100" cy="571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8" o:spid="_x0000_s1026" editas="canvas" style="width:171pt;height:81pt;mso-position-horizontal-relative:char;mso-position-vertical-relative:line" coordsize="2171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10287;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8" type="#_x0000_t5" style="position:absolute;left:8001;top:2286;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yyMQA&#10;AADbAAAADwAAAGRycy9kb3ducmV2LnhtbESPQWvCQBCF74L/YRmhF9FNPbQSXUUEqfRSakTIbciO&#10;SUh2NmQ3mv77zqHQ2wzvzXvfbPeja9WD+lB7NvC6TEARF97WXBq4ZqfFGlSIyBZbz2TghwLsd9PJ&#10;FlPrn/xNj0sslYRwSNFAFWOXah2KihyGpe+IRbv73mGUtS+17fEp4a7VqyR50w5rloYKOzpWVDSX&#10;wRnAJr99Ovulh6ysk498mL9nDRnzMhsPG1CRxvhv/rs+W8EXev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MsjEAAAA2wAAAA8AAAAAAAAAAAAAAAAAmAIAAGRycy9k&#10;b3ducmV2LnhtbFBLBQYAAAAABAAEAPUAAACJAwAAAAA=&#10;"/>
                      <w10:anchorlock/>
                    </v:group>
                  </w:pict>
                </mc:Fallback>
              </mc:AlternateContent>
            </w:r>
          </w:p>
        </w:tc>
        <w:tc>
          <w:tcPr>
            <w:tcW w:w="4786" w:type="dxa"/>
            <w:vAlign w:val="center"/>
          </w:tcPr>
          <w:p w:rsidR="00E87860" w:rsidRPr="00E87860" w:rsidRDefault="00E87860" w:rsidP="00E87860">
            <w:pPr>
              <w:spacing w:line="360" w:lineRule="auto"/>
              <w:ind w:firstLine="709"/>
              <w:jc w:val="both"/>
              <w:rPr>
                <w:sz w:val="24"/>
                <w:szCs w:val="24"/>
              </w:rPr>
            </w:pPr>
            <w:r w:rsidRPr="00E87860">
              <w:rPr>
                <w:sz w:val="24"/>
                <w:szCs w:val="24"/>
              </w:rPr>
              <w:t>1/3</w:t>
            </w:r>
          </w:p>
        </w:tc>
      </w:tr>
      <w:tr w:rsidR="00E87860" w:rsidRPr="00E87860" w:rsidTr="00116BF3">
        <w:tc>
          <w:tcPr>
            <w:tcW w:w="4785" w:type="dxa"/>
          </w:tcPr>
          <w:p w:rsidR="00E87860" w:rsidRPr="00E87860" w:rsidRDefault="00E87860" w:rsidP="00E87860">
            <w:pPr>
              <w:spacing w:line="360" w:lineRule="auto"/>
              <w:ind w:firstLine="709"/>
              <w:jc w:val="both"/>
              <w:rPr>
                <w:sz w:val="24"/>
                <w:szCs w:val="24"/>
              </w:rPr>
            </w:pPr>
            <w:r w:rsidRPr="00E87860">
              <w:rPr>
                <w:noProof/>
                <w:sz w:val="24"/>
                <w:szCs w:val="24"/>
              </w:rPr>
              <mc:AlternateContent>
                <mc:Choice Requires="wpc">
                  <w:drawing>
                    <wp:inline distT="0" distB="0" distL="0" distR="0" wp14:anchorId="124FECE1" wp14:editId="1F3F1D2D">
                      <wp:extent cx="2057400" cy="1371600"/>
                      <wp:effectExtent l="0" t="0" r="0" b="9525"/>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13"/>
                              <wps:cNvSpPr>
                                <a:spLocks noChangeArrowheads="1"/>
                              </wps:cNvSpPr>
                              <wps:spPr bwMode="auto">
                                <a:xfrm>
                                  <a:off x="914400" y="685800"/>
                                  <a:ext cx="571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4"/>
                              <wps:cNvSpPr>
                                <a:spLocks noChangeArrowheads="1"/>
                              </wps:cNvSpPr>
                              <wps:spPr bwMode="auto">
                                <a:xfrm>
                                  <a:off x="914400" y="228600"/>
                                  <a:ext cx="571500" cy="457200"/>
                                </a:xfrm>
                                <a:prstGeom prst="triangle">
                                  <a:avLst>
                                    <a:gd name="adj" fmla="val 50000"/>
                                  </a:avLst>
                                </a:prstGeom>
                                <a:solidFill>
                                  <a:srgbClr val="FFFFFF"/>
                                </a:solidFill>
                                <a:ln w="9525">
                                  <a:solidFill>
                                    <a:srgbClr val="000000"/>
                                  </a:solidFill>
                                  <a:miter lim="800000"/>
                                  <a:headEnd/>
                                  <a:tailEnd/>
                                </a:ln>
                              </wps:spPr>
                              <wps:txbx>
                                <w:txbxContent>
                                  <w:p w:rsidR="00116BF3" w:rsidRDefault="00116BF3" w:rsidP="00E87860"/>
                                </w:txbxContent>
                              </wps:txbx>
                              <wps:bodyPr rot="0" vert="horz" wrap="square" lIns="91440" tIns="45720" rIns="91440" bIns="45720" anchor="t" anchorCtr="0" upright="1">
                                <a:noAutofit/>
                              </wps:bodyPr>
                            </wps:wsp>
                            <wps:wsp>
                              <wps:cNvPr id="8" name="Text Box 15"/>
                              <wps:cNvSpPr txBox="1">
                                <a:spLocks noChangeArrowheads="1"/>
                              </wps:cNvSpPr>
                              <wps:spPr bwMode="auto">
                                <a:xfrm>
                                  <a:off x="114300" y="228600"/>
                                  <a:ext cx="685800" cy="299244"/>
                                </a:xfrm>
                                <a:prstGeom prst="rect">
                                  <a:avLst/>
                                </a:prstGeom>
                                <a:solidFill>
                                  <a:srgbClr val="FFFFFF"/>
                                </a:solidFill>
                                <a:ln w="9525">
                                  <a:solidFill>
                                    <a:srgbClr val="000000"/>
                                  </a:solidFill>
                                  <a:miter lim="800000"/>
                                  <a:headEnd/>
                                  <a:tailEnd/>
                                </a:ln>
                              </wps:spPr>
                              <wps:txbx>
                                <w:txbxContent>
                                  <w:p w:rsidR="00116BF3" w:rsidRDefault="00116BF3" w:rsidP="00E87860">
                                    <w:r>
                                      <w:t>60 лет</w:t>
                                    </w:r>
                                  </w:p>
                                </w:txbxContent>
                              </wps:txbx>
                              <wps:bodyPr rot="0" vert="horz" wrap="square" lIns="91440" tIns="45720" rIns="91440" bIns="45720" anchor="t" anchorCtr="0" upright="1">
                                <a:noAutofit/>
                              </wps:bodyPr>
                            </wps:wsp>
                            <wps:wsp>
                              <wps:cNvPr id="9" name="Line 16"/>
                              <wps:cNvCnPr/>
                              <wps:spPr bwMode="auto">
                                <a:xfrm>
                                  <a:off x="800100" y="4572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162pt;height:108pt;mso-position-horizontal-relative:char;mso-position-vertical-relative:line" coordsize="2057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13716;visibility:visible;mso-wrap-style:square">
                        <v:fill o:detectmouseclick="t"/>
                        <v:path o:connecttype="none"/>
                      </v:shape>
                      <v:rect id="Rectangle 13" o:spid="_x0000_s1028" style="position:absolute;left:9144;top:6858;width:5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9" type="#_x0000_t5" style="position:absolute;left:9144;top:228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uOcMA&#10;AADaAAAADwAAAGRycy9kb3ducmV2LnhtbESPwWrDMBBE74X8g9hALqWR20NTXMshBEJLLyV2KOS2&#10;WBvb2FoZSY6dv68KhRyHmXnDZNvZ9OJKzreWFTyvExDEldUt1wpO5eHpDYQPyBp7y6TgRh62+eIh&#10;w1TbiY90LUItIoR9igqaEIZUSl81ZNCv7UAcvYt1BkOUrpba4RThppcvSfIqDbYcFxocaN9Q1RWj&#10;UYDd+efL6G85lnWbfJzHx03ZkVKr5bx7BxFoDvfwf/tTK9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uOcMAAADaAAAADwAAAAAAAAAAAAAAAACYAgAAZHJzL2Rv&#10;d25yZXYueG1sUEsFBgAAAAAEAAQA9QAAAIgDAAAAAA==&#10;">
                        <v:textbox>
                          <w:txbxContent>
                            <w:p w:rsidR="00116BF3" w:rsidRDefault="00116BF3" w:rsidP="00E87860"/>
                          </w:txbxContent>
                        </v:textbox>
                      </v:shape>
                      <v:shapetype id="_x0000_t202" coordsize="21600,21600" o:spt="202" path="m,l,21600r21600,l21600,xe">
                        <v:stroke joinstyle="miter"/>
                        <v:path gradientshapeok="t" o:connecttype="rect"/>
                      </v:shapetype>
                      <v:shape id="Text Box 15" o:spid="_x0000_s1030" type="#_x0000_t202" style="position:absolute;left:1143;top:2286;width:6858;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16BF3" w:rsidRDefault="00116BF3" w:rsidP="00E87860">
                              <w:r>
                                <w:t>60 лет</w:t>
                              </w:r>
                            </w:p>
                          </w:txbxContent>
                        </v:textbox>
                      </v:shape>
                      <v:line id="Line 16" o:spid="_x0000_s1031" style="position:absolute;visibility:visible;mso-wrap-style:square" from="8001,4572" to="10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tc>
        <w:tc>
          <w:tcPr>
            <w:tcW w:w="4786" w:type="dxa"/>
            <w:vAlign w:val="center"/>
          </w:tcPr>
          <w:p w:rsidR="00E87860" w:rsidRPr="00E87860" w:rsidRDefault="00E87860" w:rsidP="00E87860">
            <w:pPr>
              <w:spacing w:line="360" w:lineRule="auto"/>
              <w:ind w:firstLine="709"/>
              <w:jc w:val="both"/>
              <w:rPr>
                <w:sz w:val="24"/>
                <w:szCs w:val="24"/>
                <w:lang w:val="en-US"/>
              </w:rPr>
            </w:pPr>
            <w:r w:rsidRPr="00E87860">
              <w:rPr>
                <w:sz w:val="24"/>
                <w:szCs w:val="24"/>
              </w:rPr>
              <w:t>1/</w:t>
            </w:r>
            <w:r w:rsidRPr="00E87860">
              <w:rPr>
                <w:sz w:val="24"/>
                <w:szCs w:val="24"/>
                <w:lang w:val="en-US"/>
              </w:rPr>
              <w:t>2</w:t>
            </w:r>
          </w:p>
        </w:tc>
      </w:tr>
      <w:tr w:rsidR="00E87860" w:rsidRPr="00E87860" w:rsidTr="00116BF3">
        <w:tc>
          <w:tcPr>
            <w:tcW w:w="4785" w:type="dxa"/>
          </w:tcPr>
          <w:p w:rsidR="00E87860" w:rsidRPr="00E87860" w:rsidRDefault="00E87860" w:rsidP="00E87860">
            <w:pPr>
              <w:spacing w:line="360" w:lineRule="auto"/>
              <w:ind w:firstLine="709"/>
              <w:jc w:val="both"/>
              <w:rPr>
                <w:sz w:val="24"/>
                <w:szCs w:val="24"/>
              </w:rPr>
            </w:pPr>
            <w:r w:rsidRPr="00E87860">
              <w:rPr>
                <w:noProof/>
                <w:sz w:val="24"/>
                <w:szCs w:val="24"/>
              </w:rPr>
              <mc:AlternateContent>
                <mc:Choice Requires="wpc">
                  <w:drawing>
                    <wp:inline distT="0" distB="0" distL="0" distR="0" wp14:anchorId="534F0BFB" wp14:editId="1A8B84B6">
                      <wp:extent cx="2057400" cy="1600200"/>
                      <wp:effectExtent l="0" t="0" r="0" b="0"/>
                      <wp:docPr id="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SpPr>
                                <a:spLocks noChangeArrowheads="1"/>
                              </wps:cNvSpPr>
                              <wps:spPr bwMode="auto">
                                <a:xfrm>
                                  <a:off x="800100" y="685800"/>
                                  <a:ext cx="800100" cy="8001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800100" y="228600"/>
                                  <a:ext cx="8001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114300" y="228600"/>
                                  <a:ext cx="685800" cy="308769"/>
                                </a:xfrm>
                                <a:prstGeom prst="rect">
                                  <a:avLst/>
                                </a:prstGeom>
                                <a:solidFill>
                                  <a:srgbClr val="FFFFFF"/>
                                </a:solidFill>
                                <a:ln w="9525">
                                  <a:solidFill>
                                    <a:srgbClr val="000000"/>
                                  </a:solidFill>
                                  <a:miter lim="800000"/>
                                  <a:headEnd/>
                                  <a:tailEnd/>
                                </a:ln>
                              </wps:spPr>
                              <wps:txbx>
                                <w:txbxContent>
                                  <w:p w:rsidR="00116BF3" w:rsidRDefault="00116BF3" w:rsidP="00E87860">
                                    <w:r>
                                      <w:t>60 лет</w:t>
                                    </w:r>
                                  </w:p>
                                </w:txbxContent>
                              </wps:txbx>
                              <wps:bodyPr rot="0" vert="horz" wrap="square" lIns="91440" tIns="45720" rIns="91440" bIns="45720" anchor="t" anchorCtr="0" upright="1">
                                <a:noAutofit/>
                              </wps:bodyPr>
                            </wps:wsp>
                            <wps:wsp>
                              <wps:cNvPr id="13" name="Line 7"/>
                              <wps:cNvCnPr/>
                              <wps:spPr bwMode="auto">
                                <a:xfrm>
                                  <a:off x="800100" y="4572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32" editas="canvas" style="width:162pt;height:126pt;mso-position-horizontal-relative:char;mso-position-vertical-relative:line" coordsize="2057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">
                      <v:shape id="_x0000_s1033" type="#_x0000_t75" style="position:absolute;width:20574;height:16002;visibility:visible;mso-wrap-style:square">
                        <v:fill o:detectmouseclick="t"/>
                        <v:path o:connecttype="none"/>
                      </v:shape>
                      <v:shape id="AutoShape 4" o:spid="_x0000_s1034" style="position:absolute;left:8001;top:6858;width:8001;height:80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hdsMA&#10;AADaAAAADwAAAGRycy9kb3ducmV2LnhtbESPQWsCMRSE70L/Q3gFL1ITFaRujdIKgheRtYI9vm5e&#10;N0s3L8sm6vrvjSB4HGbmG2a+7FwtztSGyrOG0VCBIC68qbjUcPhev72DCBHZYO2ZNFwpwHLx0ptj&#10;ZvyFczrvYykShEOGGmyMTSZlKCw5DEPfECfvz7cOY5JtKU2LlwR3tRwrNZUOK04LFhtaWSr+9yen&#10;YZAfMJhtfiwnX7vx7+xHTW2ntO6/dp8fICJ18Rl+tDdGwwTuV9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hdsMAAADaAAAADwAAAAAAAAAAAAAAAACYAgAAZHJzL2Rv&#10;d25yZXYueG1sUEsFBgAAAAAEAAQA9QAAAIgDAAAAAA==&#10;" path="m,l5400,21600r10800,l21600,,,xe">
                        <v:stroke joinstyle="miter"/>
                        <v:path o:connecttype="custom" o:connectlocs="700088,400050;400050,800100;100013,400050;400050,0" o:connectangles="0,0,0,0" textboxrect="4500,4500,17100,17100"/>
                      </v:shape>
                      <v:shape id="AutoShape 5" o:spid="_x0000_s1035" type="#_x0000_t5" style="position:absolute;left:8001;top:2286;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shape id="Text Box 6" o:spid="_x0000_s1036" type="#_x0000_t202" style="position:absolute;left:1143;top:2286;width:685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16BF3" w:rsidRDefault="00116BF3" w:rsidP="00E87860">
                              <w:r>
                                <w:t>60 лет</w:t>
                              </w:r>
                            </w:p>
                          </w:txbxContent>
                        </v:textbox>
                      </v:shape>
                      <v:line id="Line 7" o:spid="_x0000_s1037" style="position:absolute;visibility:visible;mso-wrap-style:square" from="8001,4572" to="10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tc>
        <w:tc>
          <w:tcPr>
            <w:tcW w:w="4786" w:type="dxa"/>
            <w:vAlign w:val="center"/>
          </w:tcPr>
          <w:p w:rsidR="00E87860" w:rsidRPr="00E87860" w:rsidRDefault="00E87860" w:rsidP="00E87860">
            <w:pPr>
              <w:spacing w:line="360" w:lineRule="auto"/>
              <w:ind w:firstLine="709"/>
              <w:jc w:val="both"/>
              <w:rPr>
                <w:sz w:val="24"/>
                <w:szCs w:val="24"/>
              </w:rPr>
            </w:pPr>
            <w:r w:rsidRPr="00E87860">
              <w:rPr>
                <w:sz w:val="24"/>
                <w:szCs w:val="24"/>
              </w:rPr>
              <w:t>3</w:t>
            </w:r>
            <w:r w:rsidRPr="00E87860">
              <w:rPr>
                <w:sz w:val="24"/>
                <w:szCs w:val="24"/>
                <w:lang w:val="en-US"/>
              </w:rPr>
              <w:t>/</w:t>
            </w:r>
            <w:r w:rsidRPr="00E87860">
              <w:rPr>
                <w:sz w:val="24"/>
                <w:szCs w:val="24"/>
              </w:rPr>
              <w:t>5</w:t>
            </w:r>
          </w:p>
        </w:tc>
      </w:tr>
    </w:tbl>
    <w:p w:rsidR="00E87860" w:rsidRPr="00E87860" w:rsidRDefault="00E87860" w:rsidP="00E87860">
      <w:pPr>
        <w:spacing w:after="0" w:line="360" w:lineRule="auto"/>
        <w:ind w:firstLine="709"/>
        <w:jc w:val="both"/>
        <w:rPr>
          <w:rFonts w:ascii="Times New Roman" w:hAnsi="Times New Roman" w:cs="Times New Roman"/>
          <w:sz w:val="24"/>
          <w:szCs w:val="24"/>
        </w:rPr>
      </w:pP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период треугольного  распределения численности, когда наблюдались  невысокие значения демографических нагрузок,  сформировался  принцип солидарности поколений (принцип Бисмарка), приведший к образованию распределительной пенсионной системы, в которой плательщиками  взносов являлось трудоспособное население, а получателями – пожилое.  Устойчивость данной модели в первую очередь определялась невысоким коэффициентом демографической нагрузки и низким уровнем охвата пожилого населения системой пенсионного обеспечения.  По мере роста демографической нагрузки и с увеличением уровня охвата нагрузка на распределительную пенсионную систему стала возрастать. Для распределительной пенсионной системы существует  критическое значение коэффициента демографической нагрузки, при превышении которого сохранение самой системы становится  неэффективным. Действительно, назовем допустимым коэффициентом замещения в распределительной пенсионной системе соотношение выплачиваемой пенсии и </w:t>
      </w:r>
      <w:r w:rsidRPr="00E87860">
        <w:rPr>
          <w:rFonts w:ascii="Times New Roman" w:hAnsi="Times New Roman" w:cs="Times New Roman"/>
          <w:sz w:val="24"/>
          <w:szCs w:val="24"/>
        </w:rPr>
        <w:lastRenderedPageBreak/>
        <w:t xml:space="preserve">заработной платы в случае отсутствия дефицита. Этот коэффициент  легко рассчитать, разделив ставку взносов в пенсионную систему, в нашем случае – это часть ставки страховых взносов, на соотношение   пенсионеров и  плательщиков пенсионных взносов. Последнее соотношение назовем коэффициентом пенсионной нагрузки. На практике коэффициент демографической нагрузки в полтора - два раза ниже коэффициента пенсионной нагрузки. Данный феномен объясняется наличием в пенсионной  системе льготных пенсий, а также пенсий по инвалидности и по потере кормильца. Кроме того, численность наемных работников, являющихся основными плательщиками страховых взносов, составляет приблизительно 70% от численности экономически активного населения.  С одной стороны такое соотношение нагрузок можно рассматривать как резерв распределительной пенсионной системы, а с другой как объективные системные ограничения. Прогноз коэффициента демографической нагрузки показывает его дальнейший рост. Вместе с ним будет увеличиваться и пенсионная нагрузка, объективно приводя к снижению допустимого коэффициента замещения. Поэтому попытки зафиксировать коэффициент замещения в    распределительной системе приведут к постоянному росту ставки взносов или к повышению пенсионного возраста. В противном случае баланс пенсионного фонда будет дефицитным.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Поиски мер по снижению демографических рисков и повышению финансовой устойчивости пенсионных систем привели к появлению накопительных пенсионных систем.  Для последних тоже существуют риски, связанные с сохранением  накоплений в кризисные периоды. Однако большие горизонты инвестирования сильно смягчают эти риски, так как статистические данные показывают, что на интервале 30-40 лет доходность инвестиций превышает уровень инфляции, несмотря на периодические финансовые кризисы.</w:t>
      </w:r>
    </w:p>
    <w:p w:rsidR="00E87860" w:rsidRPr="00E87860" w:rsidRDefault="00E87860" w:rsidP="00E87860">
      <w:pPr>
        <w:spacing w:after="0" w:line="360" w:lineRule="auto"/>
        <w:ind w:firstLine="709"/>
        <w:jc w:val="both"/>
        <w:rPr>
          <w:rFonts w:ascii="Times New Roman" w:hAnsi="Times New Roman" w:cs="Times New Roman"/>
          <w:sz w:val="24"/>
          <w:szCs w:val="24"/>
        </w:rPr>
      </w:pPr>
      <w:proofErr w:type="gramStart"/>
      <w:r w:rsidRPr="00E87860">
        <w:rPr>
          <w:rFonts w:ascii="Times New Roman" w:hAnsi="Times New Roman" w:cs="Times New Roman"/>
          <w:sz w:val="24"/>
          <w:szCs w:val="24"/>
        </w:rPr>
        <w:t xml:space="preserve">В условиях  трансформации демографической   пирамиды или ее переворота может произойти переход от существующей на сегодня распределительной пенсионной системы или  модели пенсионного страхования (модель Бисмарка) к  модели государственных  гарантий (модель </w:t>
      </w:r>
      <w:proofErr w:type="spellStart"/>
      <w:r w:rsidRPr="00E87860">
        <w:rPr>
          <w:rFonts w:ascii="Times New Roman" w:hAnsi="Times New Roman" w:cs="Times New Roman"/>
          <w:sz w:val="24"/>
          <w:szCs w:val="24"/>
        </w:rPr>
        <w:t>Бевериджа</w:t>
      </w:r>
      <w:proofErr w:type="spellEnd"/>
      <w:r w:rsidRPr="00E87860">
        <w:rPr>
          <w:rFonts w:ascii="Times New Roman" w:hAnsi="Times New Roman" w:cs="Times New Roman"/>
          <w:sz w:val="24"/>
          <w:szCs w:val="24"/>
        </w:rPr>
        <w:t xml:space="preserve">),  в которой размер пенсии фиксируется, исходя из возможностей государства,  и зависит от демографических и макроэкономических условий,  а дополнительная пенсия формируется за счет средств работодателя и работника.  </w:t>
      </w:r>
      <w:proofErr w:type="gramEnd"/>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Следует отметить, что демографическим рискам  подвержена не только пенсионная система. В условиях переворота демографической пирамиды все возрастные группы  населения будут ощущать это влияние.</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lastRenderedPageBreak/>
        <w:t xml:space="preserve">Проблема, связанная с возникновением сильной неравномерности в численности детского населения, приводит к формированию демографических волн и создает дополнительную финансовую нагрузку на бюджет в связи с необходимостью сохранения и поддержания инфраструктуры, рассчитанной на максимальную численность детского населения. Сюда можно отнести дополнительные проблемы, связанные с ухудшением состава детского населения, ростом заболеваемости и числа детей, оставшихся без попечения родителей. Но главной проблемой является сокращение численности детского населения, вызванное снижением уровня рождаемости и  приводящее в будущем  к  необратимым изменениям в структуре населения.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Учитывая, что численность населения трудоспособного возраста  будет заметно сокращаться в силу ежегодного увеличения числа лиц, достигающих пенсионного возраста и сокращения числа лиц, достигающих границы трудоспособного возраста, можно утверждать, что будет сокращаться и число занятых в экономике.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В настоящее время пенсионного возраста достигает послевоенное поколение граждан России, наиболее весомое в структуре населения страны. Вместе с этим многие отрасли теряют наиболее опытные кадры, заменить которые с каждым годом  будет  все труднее в силу разрыва преемственности поколений, связанного с недостаточной  передачей  опыта и навыков и нехваткой квалифицированной рабочей силы в средних возрастных группах.  В первую очередь, это связано с существенным изменением структуры рынка труда в переходный период, падением престижа и заработка многих специальностей.  Эти проблемы актуальны для всех отраслей  экономики и в ближайшее время будут еще больше обостряться. </w:t>
      </w:r>
    </w:p>
    <w:p w:rsidR="00E87860" w:rsidRPr="00E87860" w:rsidRDefault="00E87860" w:rsidP="00E87860">
      <w:pPr>
        <w:spacing w:after="0" w:line="360" w:lineRule="auto"/>
        <w:ind w:firstLine="709"/>
        <w:jc w:val="both"/>
        <w:rPr>
          <w:rFonts w:ascii="Times New Roman" w:hAnsi="Times New Roman" w:cs="Times New Roman"/>
          <w:sz w:val="24"/>
          <w:szCs w:val="24"/>
        </w:rPr>
      </w:pPr>
      <w:r w:rsidRPr="00E87860">
        <w:rPr>
          <w:rFonts w:ascii="Times New Roman" w:hAnsi="Times New Roman" w:cs="Times New Roman"/>
          <w:sz w:val="24"/>
          <w:szCs w:val="24"/>
        </w:rPr>
        <w:t xml:space="preserve">     Демографические риски, связанные с изменением возрастно-половой структуры населения, также могут оказать влияние на систему здравоохранения и привести к абсолютному росту одних заболеваний и к снижению других  в связи с сокращением численности населения в возрастах, находящихся в зоне риска. </w:t>
      </w:r>
    </w:p>
    <w:p w:rsidR="00E87860" w:rsidRPr="00E87860" w:rsidRDefault="00E87860" w:rsidP="00E87860">
      <w:pPr>
        <w:spacing w:after="0" w:line="360" w:lineRule="auto"/>
        <w:ind w:firstLine="709"/>
        <w:jc w:val="both"/>
        <w:rPr>
          <w:rFonts w:ascii="Times New Roman" w:hAnsi="Times New Roman" w:cs="Times New Roman"/>
          <w:color w:val="000000"/>
          <w:sz w:val="24"/>
          <w:szCs w:val="24"/>
        </w:rPr>
      </w:pPr>
      <w:r w:rsidRPr="00E87860">
        <w:rPr>
          <w:rFonts w:ascii="Times New Roman" w:hAnsi="Times New Roman" w:cs="Times New Roman"/>
          <w:color w:val="000000"/>
          <w:sz w:val="24"/>
          <w:szCs w:val="24"/>
        </w:rPr>
        <w:t xml:space="preserve">Сегодня каждую из рассмотренных проблем пытаются решить изолированно, тогда как, в будущем модель пенсионной системы будет зависеть, от модели  социальных расходов и перераспределения бюджетного денежного потока, направляемого на социальные нужды. Бюджетный поток  в свою очередь также может сильно зависеть от времени, и потребуется оценить, в каких границах могут находиться социальные бюджетные расходы.  Кроме того, задача социального бюджета заметно усложняется, поскольку сложившиеся расходы не принято уменьшать, следовательно, планирование и резервирование становится важной частью управления социальными расходами. </w:t>
      </w:r>
    </w:p>
    <w:p w:rsidR="00E87860" w:rsidRPr="00E87860" w:rsidRDefault="00E87860" w:rsidP="00E87860">
      <w:pPr>
        <w:spacing w:after="0" w:line="360" w:lineRule="auto"/>
        <w:ind w:firstLine="709"/>
        <w:jc w:val="both"/>
        <w:rPr>
          <w:rFonts w:ascii="Times New Roman" w:hAnsi="Times New Roman" w:cs="Times New Roman"/>
          <w:color w:val="000000"/>
          <w:sz w:val="24"/>
          <w:szCs w:val="24"/>
        </w:rPr>
      </w:pPr>
      <w:r w:rsidRPr="00E87860">
        <w:rPr>
          <w:rFonts w:ascii="Times New Roman" w:hAnsi="Times New Roman" w:cs="Times New Roman"/>
          <w:sz w:val="24"/>
          <w:szCs w:val="24"/>
        </w:rPr>
        <w:lastRenderedPageBreak/>
        <w:t xml:space="preserve">Где же ответ на современные демографические вызовы?  Наверное, было бы слишком просто сказать, что нужно срочно  развивать  альтернативные варианты пенсионного обеспечения,  активно стимулируя развитие корпоративных, региональных и муниципальных пенсионных программ, а также создавать стимулы личного участия в формировании пенсионных накоплений. Но, учитывая нарастающее демографическое  давление на пенсионную систему, постепенное изменение сознания и отношение к пенсии, следует ожидать рост интереса к пенсионным продуктам. Корме того,  </w:t>
      </w:r>
      <w:proofErr w:type="spellStart"/>
      <w:r w:rsidRPr="00E87860">
        <w:rPr>
          <w:rFonts w:ascii="Times New Roman" w:hAnsi="Times New Roman" w:cs="Times New Roman"/>
          <w:color w:val="000000"/>
          <w:sz w:val="24"/>
          <w:szCs w:val="24"/>
        </w:rPr>
        <w:t>атомизация</w:t>
      </w:r>
      <w:proofErr w:type="spellEnd"/>
      <w:r w:rsidRPr="00E87860">
        <w:rPr>
          <w:rFonts w:ascii="Times New Roman" w:hAnsi="Times New Roman" w:cs="Times New Roman"/>
          <w:color w:val="000000"/>
          <w:sz w:val="24"/>
          <w:szCs w:val="24"/>
        </w:rPr>
        <w:t xml:space="preserve"> современного  общества будет  приводить к увеличению спроса на индивидуальное пенсионное обеспечение.</w:t>
      </w:r>
      <w:r w:rsidRPr="00E87860">
        <w:rPr>
          <w:rFonts w:ascii="Times New Roman" w:hAnsi="Times New Roman" w:cs="Times New Roman"/>
          <w:sz w:val="24"/>
          <w:szCs w:val="24"/>
        </w:rPr>
        <w:t xml:space="preserve"> Процесс формирования пенсионной   культуры длительный, и может быть  соизмерим с периодом активной деятельности отдельного поколения, поэтому нужно запастись терпением, чтобы пройти этот путь, иначе все силы, приложенные  в начале этого пути, окажутся   потраченными напрасно.</w:t>
      </w:r>
    </w:p>
    <w:p w:rsidR="00E87860" w:rsidRDefault="00E87860" w:rsidP="00E87860">
      <w:pPr>
        <w:spacing w:after="0" w:line="360" w:lineRule="auto"/>
        <w:ind w:firstLine="709"/>
        <w:jc w:val="both"/>
        <w:rPr>
          <w:sz w:val="28"/>
          <w:szCs w:val="28"/>
        </w:rPr>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015D5A" w:rsidRPr="00015D5A" w:rsidRDefault="00015D5A" w:rsidP="00015D5A">
      <w:pPr>
        <w:ind w:right="71" w:firstLine="540"/>
        <w:jc w:val="center"/>
        <w:rPr>
          <w:b/>
          <w:sz w:val="28"/>
          <w:szCs w:val="28"/>
        </w:rPr>
      </w:pPr>
    </w:p>
    <w:p w:rsidR="004111E5" w:rsidRPr="00015D5A" w:rsidRDefault="004111E5" w:rsidP="004111E5">
      <w:pPr>
        <w:ind w:right="74"/>
        <w:jc w:val="center"/>
        <w:rPr>
          <w:rFonts w:ascii="Times New Roman" w:hAnsi="Times New Roman" w:cs="Times New Roman"/>
          <w:b/>
          <w:sz w:val="28"/>
          <w:szCs w:val="28"/>
        </w:rPr>
      </w:pPr>
      <w:r w:rsidRPr="00015D5A">
        <w:rPr>
          <w:rFonts w:ascii="Times New Roman" w:hAnsi="Times New Roman" w:cs="Times New Roman"/>
          <w:b/>
          <w:sz w:val="28"/>
          <w:szCs w:val="28"/>
        </w:rPr>
        <w:t>Негосударственные пенсионные фонды в пенсионной системе России</w:t>
      </w:r>
    </w:p>
    <w:p w:rsidR="004111E5" w:rsidRPr="00015D5A" w:rsidRDefault="004111E5" w:rsidP="004111E5">
      <w:pPr>
        <w:ind w:right="74"/>
        <w:jc w:val="both"/>
        <w:rPr>
          <w:rFonts w:ascii="Times New Roman" w:hAnsi="Times New Roman" w:cs="Times New Roman"/>
          <w:b/>
          <w:sz w:val="24"/>
          <w:szCs w:val="24"/>
        </w:rPr>
      </w:pPr>
    </w:p>
    <w:p w:rsidR="004111E5" w:rsidRPr="00015D5A" w:rsidRDefault="004111E5" w:rsidP="004111E5">
      <w:pPr>
        <w:ind w:right="74"/>
        <w:jc w:val="right"/>
        <w:rPr>
          <w:rFonts w:ascii="Times New Roman" w:hAnsi="Times New Roman" w:cs="Times New Roman"/>
          <w:b/>
          <w:sz w:val="24"/>
          <w:szCs w:val="24"/>
        </w:rPr>
      </w:pPr>
    </w:p>
    <w:p w:rsidR="004111E5" w:rsidRPr="00015D5A" w:rsidRDefault="004111E5" w:rsidP="004111E5">
      <w:pPr>
        <w:jc w:val="right"/>
        <w:rPr>
          <w:rFonts w:ascii="Times New Roman" w:hAnsi="Times New Roman" w:cs="Times New Roman"/>
          <w:i/>
          <w:sz w:val="24"/>
          <w:szCs w:val="24"/>
        </w:rPr>
      </w:pPr>
      <w:r w:rsidRPr="00015D5A">
        <w:rPr>
          <w:rFonts w:ascii="Times New Roman" w:hAnsi="Times New Roman" w:cs="Times New Roman"/>
          <w:b/>
          <w:i/>
          <w:sz w:val="24"/>
          <w:szCs w:val="24"/>
        </w:rPr>
        <w:t>Олег Михайлович Колобаев,</w:t>
      </w:r>
    </w:p>
    <w:p w:rsidR="004111E5" w:rsidRPr="00015D5A" w:rsidRDefault="004111E5" w:rsidP="004111E5">
      <w:pPr>
        <w:jc w:val="right"/>
        <w:rPr>
          <w:rFonts w:ascii="Times New Roman" w:hAnsi="Times New Roman" w:cs="Times New Roman"/>
          <w:i/>
          <w:sz w:val="24"/>
          <w:szCs w:val="24"/>
        </w:rPr>
      </w:pPr>
      <w:r w:rsidRPr="00015D5A">
        <w:rPr>
          <w:rFonts w:ascii="Times New Roman" w:hAnsi="Times New Roman" w:cs="Times New Roman"/>
          <w:i/>
          <w:sz w:val="24"/>
          <w:szCs w:val="24"/>
        </w:rPr>
        <w:t>Советник Президента НП «НАПФ»</w:t>
      </w:r>
    </w:p>
    <w:p w:rsidR="004111E5" w:rsidRPr="00015D5A" w:rsidRDefault="004111E5" w:rsidP="004111E5">
      <w:pPr>
        <w:ind w:right="74"/>
        <w:jc w:val="both"/>
        <w:rPr>
          <w:rFonts w:ascii="Times New Roman" w:hAnsi="Times New Roman" w:cs="Times New Roman"/>
          <w:b/>
          <w:sz w:val="24"/>
          <w:szCs w:val="24"/>
        </w:rPr>
      </w:pPr>
    </w:p>
    <w:p w:rsidR="004111E5" w:rsidRPr="00015D5A" w:rsidRDefault="004111E5" w:rsidP="004111E5">
      <w:pPr>
        <w:spacing w:line="360" w:lineRule="auto"/>
        <w:ind w:right="71" w:firstLine="540"/>
        <w:jc w:val="both"/>
        <w:rPr>
          <w:rFonts w:ascii="Times New Roman" w:hAnsi="Times New Roman" w:cs="Times New Roman"/>
          <w:sz w:val="24"/>
          <w:szCs w:val="24"/>
        </w:rPr>
      </w:pP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 xml:space="preserve">В последнее время наметился беспрецедентный рост внимания населения к негосударственным пенсионным фондам (НПФ)– составной части пенсионной системы страны и продолжению развития нормативно-правовой базы деятельности НПФ. </w:t>
      </w: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 xml:space="preserve">Число застрахованных лиц, выбравших негосударственные пенсионные фонды для формирования накопительной части трудовой пенсии, на 1 октября 2013 года составляло 21,06 млн. человек (27,4% от 77,0 млн. граждан, у которых формируются пенсионные накопления), а сумма пенсионных накоплений негосударственных пенсионных фондов превышает 986 млрд. рублей. </w:t>
      </w: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С 1 июля 2012 года начались выплаты за счет пенсионных накоплений накопительной части трудовой пенсии, срочных пенсионных выплат и единовременных выплат.</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 отличие от таких элементов финансового рынка, как банковское и страховое дело накопительное частное пенсионное обеспечение в СССР по понятным причинам отсутствовало. С началом рыночных реформ эта идея довольно быстро привлекла интерес нарождающегося слоя российских финансистов. Даже поверхностное знакомство с зарубежными финансовыми системами позволяло понять, что в рыночных экономиках в сфере накопительного пенсионного обеспечения аккумулируются огромные и притом долгосрочные ресурсы. Новая сфера деятельности была весьма интересна как с интеллектуальной точки зрения, так и представлялась весьма привлекательной тем, кто сумеет взять «длинные» пенсионные деньги под свое управление. </w:t>
      </w:r>
    </w:p>
    <w:p w:rsidR="004111E5" w:rsidRPr="00015D5A" w:rsidRDefault="004111E5" w:rsidP="004111E5">
      <w:pPr>
        <w:pStyle w:val="ac"/>
        <w:spacing w:line="360" w:lineRule="auto"/>
        <w:ind w:firstLine="709"/>
        <w:jc w:val="both"/>
        <w:rPr>
          <w:sz w:val="24"/>
          <w:szCs w:val="24"/>
        </w:rPr>
      </w:pPr>
      <w:r w:rsidRPr="00015D5A">
        <w:rPr>
          <w:sz w:val="24"/>
          <w:szCs w:val="24"/>
        </w:rPr>
        <w:t>Первая попытка ввести услугу по страхованию дополнительных пенсий была предпринята в 1989 году  государственной страховой компание</w:t>
      </w:r>
      <w:proofErr w:type="gramStart"/>
      <w:r w:rsidRPr="00015D5A">
        <w:rPr>
          <w:sz w:val="24"/>
          <w:szCs w:val="24"/>
        </w:rPr>
        <w:t>й(</w:t>
      </w:r>
      <w:proofErr w:type="gramEnd"/>
      <w:r w:rsidRPr="00015D5A">
        <w:rPr>
          <w:sz w:val="24"/>
          <w:szCs w:val="24"/>
        </w:rPr>
        <w:t xml:space="preserve">Госстрахом). Началось </w:t>
      </w:r>
      <w:r w:rsidRPr="00015D5A">
        <w:rPr>
          <w:sz w:val="24"/>
          <w:szCs w:val="24"/>
        </w:rPr>
        <w:lastRenderedPageBreak/>
        <w:t xml:space="preserve">формирование пенсионных накоплений, однако с распадом СССР эти накопления, как и многие другие, были утеряны. </w:t>
      </w:r>
    </w:p>
    <w:p w:rsidR="004111E5" w:rsidRPr="00015D5A" w:rsidRDefault="004111E5" w:rsidP="004111E5">
      <w:pPr>
        <w:pStyle w:val="ac"/>
        <w:spacing w:line="360" w:lineRule="auto"/>
        <w:ind w:firstLine="709"/>
        <w:jc w:val="both"/>
        <w:rPr>
          <w:sz w:val="24"/>
          <w:szCs w:val="24"/>
        </w:rPr>
      </w:pPr>
      <w:r w:rsidRPr="00015D5A">
        <w:rPr>
          <w:sz w:val="24"/>
          <w:szCs w:val="24"/>
        </w:rPr>
        <w:t xml:space="preserve">Несмотря на отсутствие нормативной </w:t>
      </w:r>
      <w:proofErr w:type="gramStart"/>
      <w:r w:rsidRPr="00015D5A">
        <w:rPr>
          <w:sz w:val="24"/>
          <w:szCs w:val="24"/>
        </w:rPr>
        <w:t>базы</w:t>
      </w:r>
      <w:proofErr w:type="gramEnd"/>
      <w:r w:rsidRPr="00015D5A">
        <w:rPr>
          <w:sz w:val="24"/>
          <w:szCs w:val="24"/>
        </w:rPr>
        <w:t xml:space="preserve"> и практического опыта уже в декабре 1990 г. Постановлением Совета Министров СССР № 1235 был создан Страховой пенсионный фонд работников науки, а в ноябре 1991 года был зарегистрирован первый в российской истории частный пенсионный фонд – Российский Страховой Пенсионный Фонд (РСПФ). </w:t>
      </w:r>
    </w:p>
    <w:p w:rsidR="004111E5" w:rsidRPr="00015D5A" w:rsidRDefault="004111E5" w:rsidP="004111E5">
      <w:pPr>
        <w:pStyle w:val="ac"/>
        <w:spacing w:line="360" w:lineRule="auto"/>
        <w:ind w:firstLine="709"/>
        <w:jc w:val="both"/>
        <w:rPr>
          <w:sz w:val="24"/>
          <w:szCs w:val="24"/>
        </w:rPr>
      </w:pPr>
      <w:r w:rsidRPr="00015D5A">
        <w:rPr>
          <w:sz w:val="24"/>
          <w:szCs w:val="24"/>
        </w:rPr>
        <w:t xml:space="preserve">Тогда же Правительство РСФСР образовало комиссию по разработке порядка создания и деятельности негосударственных пенсионных фондов. Большую техническую помощь в первых шагах НПФ оказал </w:t>
      </w:r>
      <w:proofErr w:type="gramStart"/>
      <w:r w:rsidRPr="00015D5A">
        <w:rPr>
          <w:sz w:val="24"/>
          <w:szCs w:val="24"/>
        </w:rPr>
        <w:t>британский</w:t>
      </w:r>
      <w:proofErr w:type="gramEnd"/>
      <w:r w:rsidRPr="00015D5A">
        <w:rPr>
          <w:sz w:val="24"/>
          <w:szCs w:val="24"/>
        </w:rPr>
        <w:t xml:space="preserve"> </w:t>
      </w:r>
      <w:r w:rsidRPr="00015D5A">
        <w:rPr>
          <w:sz w:val="24"/>
          <w:szCs w:val="24"/>
          <w:lang w:val="en-US"/>
        </w:rPr>
        <w:t>Know</w:t>
      </w:r>
      <w:r w:rsidRPr="00015D5A">
        <w:rPr>
          <w:sz w:val="24"/>
          <w:szCs w:val="24"/>
        </w:rPr>
        <w:t>-</w:t>
      </w:r>
      <w:proofErr w:type="spellStart"/>
      <w:r w:rsidRPr="00015D5A">
        <w:rPr>
          <w:sz w:val="24"/>
          <w:szCs w:val="24"/>
          <w:lang w:val="en-US"/>
        </w:rPr>
        <w:t>HowFund</w:t>
      </w:r>
      <w:proofErr w:type="spellEnd"/>
      <w:r w:rsidRPr="00015D5A">
        <w:rPr>
          <w:sz w:val="24"/>
          <w:szCs w:val="24"/>
        </w:rPr>
        <w:t xml:space="preserve">, при участии экспертов которого были подготовлены проекты нормативных документов, регулирующих деятельность будущих НПФ. </w:t>
      </w:r>
    </w:p>
    <w:p w:rsidR="004111E5" w:rsidRPr="00015D5A" w:rsidRDefault="004111E5" w:rsidP="004111E5">
      <w:pPr>
        <w:spacing w:line="360" w:lineRule="auto"/>
        <w:ind w:right="71" w:firstLine="540"/>
        <w:jc w:val="both"/>
        <w:rPr>
          <w:rFonts w:ascii="Times New Roman" w:hAnsi="Times New Roman" w:cs="Times New Roman"/>
          <w:i/>
          <w:sz w:val="24"/>
          <w:szCs w:val="24"/>
        </w:rPr>
      </w:pPr>
      <w:proofErr w:type="gramStart"/>
      <w:r w:rsidRPr="00015D5A">
        <w:rPr>
          <w:rFonts w:ascii="Times New Roman" w:hAnsi="Times New Roman" w:cs="Times New Roman"/>
          <w:sz w:val="24"/>
          <w:szCs w:val="24"/>
        </w:rPr>
        <w:t>Датой официального начала истории российских НПФ считается 16 сентября 1992 года – день, когда Президент России Борис Ельцин подписал Указ № 1077 «О негосударственных пенсионных фондах».</w:t>
      </w:r>
      <w:proofErr w:type="gramEnd"/>
      <w:r w:rsidRPr="00015D5A">
        <w:rPr>
          <w:rFonts w:ascii="Times New Roman" w:hAnsi="Times New Roman" w:cs="Times New Roman"/>
          <w:sz w:val="24"/>
          <w:szCs w:val="24"/>
        </w:rPr>
        <w:t xml:space="preserve"> Указ означал начало нового этапа реформы пенсионной системы России: наряду с государственным компонентом пенсионной системы был легализован и частный ее компонент.</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На первом этапе развития пенсионной отрасли тон в деле создания НПФ задавали вовсе не крупные предприятия. Большинство первых фондов возникло при банках, создавались профсоюзами, инвестиционными компаниями, группами инициативных частных лиц, намеренных выйти на новый рынок.</w:t>
      </w:r>
    </w:p>
    <w:p w:rsidR="004111E5" w:rsidRPr="00015D5A" w:rsidRDefault="004111E5" w:rsidP="004111E5">
      <w:pPr>
        <w:tabs>
          <w:tab w:val="left" w:pos="4774"/>
        </w:tabs>
        <w:spacing w:line="360" w:lineRule="auto"/>
        <w:ind w:right="71" w:firstLine="540"/>
        <w:jc w:val="both"/>
        <w:rPr>
          <w:rFonts w:ascii="Times New Roman" w:hAnsi="Times New Roman" w:cs="Times New Roman"/>
          <w:sz w:val="24"/>
          <w:szCs w:val="24"/>
        </w:rPr>
      </w:pPr>
      <w:proofErr w:type="gramStart"/>
      <w:r w:rsidRPr="00015D5A">
        <w:rPr>
          <w:rFonts w:ascii="Times New Roman" w:hAnsi="Times New Roman" w:cs="Times New Roman"/>
          <w:sz w:val="24"/>
          <w:szCs w:val="24"/>
        </w:rPr>
        <w:t>Население, существенно потерявшее в доходах в результате начала рыночных реформ и последовавшего экономического спада, было не готово в значительных масштабах финансировать свое отдаленное будущее, - прежде всего с учетом той степени неопределенности, которая царила в российской жизни в начале 1990-ых гг., и  трехзначной инфляции, которая обращала сбережения в пыль и от которой не могли защитить немногочисленные финансовые инструменты, доступные на свободном</w:t>
      </w:r>
      <w:proofErr w:type="gramEnd"/>
      <w:r w:rsidRPr="00015D5A">
        <w:rPr>
          <w:rFonts w:ascii="Times New Roman" w:hAnsi="Times New Roman" w:cs="Times New Roman"/>
          <w:sz w:val="24"/>
          <w:szCs w:val="24"/>
        </w:rPr>
        <w:t xml:space="preserve"> </w:t>
      </w:r>
      <w:proofErr w:type="gramStart"/>
      <w:r w:rsidRPr="00015D5A">
        <w:rPr>
          <w:rFonts w:ascii="Times New Roman" w:hAnsi="Times New Roman" w:cs="Times New Roman"/>
          <w:sz w:val="24"/>
          <w:szCs w:val="24"/>
        </w:rPr>
        <w:t>рынке, - государственные облигации, депозиты и только появившиеся акции приватизированных предприятий (потенциально доходные, но пока неликвидные и не имеющие справедливой рыночной оценки).</w:t>
      </w:r>
      <w:proofErr w:type="gramEnd"/>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НПФ «открытого типа» должны были завоевывать свое место на финансовом рынке постепенной кропотливой работой, а не кавалерийской атакой. Необходимо было </w:t>
      </w:r>
      <w:r w:rsidRPr="00015D5A">
        <w:rPr>
          <w:rFonts w:ascii="Times New Roman" w:hAnsi="Times New Roman" w:cs="Times New Roman"/>
          <w:sz w:val="24"/>
          <w:szCs w:val="24"/>
        </w:rPr>
        <w:lastRenderedPageBreak/>
        <w:t>создавать внятные технологии инвестирования собранных средств, зарабатывать репутацию и накапливать опыт работы, добиваться явной государственной поддержки.</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 1993-1994 годах начинают появляться первые корпоративные НПФ, создаваемые крупными компаниями или финансово-промышленными группами с целью организации дополнительного пенсионного обеспечения для своих сотрудников. Таким фондам не было необходимости вести конкурентную борьбу, обещая сверхвысокую доходность инвестирования, поскольку учредители создавали их не для этого: во главу угла ставилась надежность, то есть долгосрочная устойчивость фонда. Основная мотивация создания корпоративных НПФ - либо осуществление социальной политики предприятия, либо использование пенсионных программ в качестве рычага кадровой политики, либо, наконец, формирование подконтрольного, но формально обособленного от предприятия инвестиционного ресурса. Не были исключены и комбинации всех трех мотивов. </w:t>
      </w:r>
    </w:p>
    <w:p w:rsidR="004111E5" w:rsidRPr="00015D5A" w:rsidRDefault="004111E5" w:rsidP="004111E5">
      <w:pPr>
        <w:spacing w:line="360" w:lineRule="auto"/>
        <w:ind w:right="71" w:firstLine="540"/>
        <w:jc w:val="both"/>
        <w:rPr>
          <w:rFonts w:ascii="Times New Roman" w:hAnsi="Times New Roman" w:cs="Times New Roman"/>
          <w:b/>
          <w:i/>
          <w:sz w:val="24"/>
          <w:szCs w:val="24"/>
        </w:rPr>
      </w:pPr>
      <w:r w:rsidRPr="00015D5A">
        <w:rPr>
          <w:rFonts w:ascii="Times New Roman" w:hAnsi="Times New Roman" w:cs="Times New Roman"/>
          <w:sz w:val="24"/>
          <w:szCs w:val="24"/>
        </w:rPr>
        <w:t xml:space="preserve">Уже к 1996 году в сфере негосударственного пенсионного обеспечения (НПО) начинают доминировать крупные корпоративные фонды, реализующие корпоративные пенсионные программы ведущих российских </w:t>
      </w:r>
      <w:proofErr w:type="gramStart"/>
      <w:r w:rsidRPr="00015D5A">
        <w:rPr>
          <w:rFonts w:ascii="Times New Roman" w:hAnsi="Times New Roman" w:cs="Times New Roman"/>
          <w:sz w:val="24"/>
          <w:szCs w:val="24"/>
        </w:rPr>
        <w:t>бизнес-групп</w:t>
      </w:r>
      <w:proofErr w:type="gramEnd"/>
      <w:r w:rsidRPr="00015D5A">
        <w:rPr>
          <w:rFonts w:ascii="Times New Roman" w:hAnsi="Times New Roman" w:cs="Times New Roman"/>
          <w:sz w:val="24"/>
          <w:szCs w:val="24"/>
        </w:rPr>
        <w:t>: именно они не испытывают проблем с поступлением пенсионных взносов. Ведущими среди них были в тот период так называемые крупнейшие корпоративные фонды: НПФ «</w:t>
      </w:r>
      <w:proofErr w:type="spellStart"/>
      <w:r w:rsidRPr="00015D5A">
        <w:rPr>
          <w:rFonts w:ascii="Times New Roman" w:hAnsi="Times New Roman" w:cs="Times New Roman"/>
          <w:sz w:val="24"/>
          <w:szCs w:val="24"/>
        </w:rPr>
        <w:t>ЛУКойл</w:t>
      </w:r>
      <w:proofErr w:type="spellEnd"/>
      <w:r w:rsidRPr="00015D5A">
        <w:rPr>
          <w:rFonts w:ascii="Times New Roman" w:hAnsi="Times New Roman" w:cs="Times New Roman"/>
          <w:sz w:val="24"/>
          <w:szCs w:val="24"/>
        </w:rPr>
        <w:t>-Гарант», НПФ «ГАЗФОНД», НПФ «Сургутнефтегаз», НПФ электроэнергетики, НПФ «Уголь». В начале 1997 года на эту пятерку НПФ приходилось более 64% активов, и затем тенденция к концентрации продолжала расти год от года.</w:t>
      </w:r>
    </w:p>
    <w:p w:rsidR="004111E5" w:rsidRPr="00015D5A" w:rsidRDefault="004111E5" w:rsidP="004111E5">
      <w:pPr>
        <w:spacing w:line="360" w:lineRule="auto"/>
        <w:ind w:right="71" w:firstLine="700"/>
        <w:jc w:val="both"/>
        <w:rPr>
          <w:rFonts w:ascii="Times New Roman" w:hAnsi="Times New Roman" w:cs="Times New Roman"/>
          <w:sz w:val="24"/>
          <w:szCs w:val="24"/>
        </w:rPr>
      </w:pPr>
      <w:r w:rsidRPr="00015D5A">
        <w:rPr>
          <w:rFonts w:ascii="Times New Roman" w:hAnsi="Times New Roman" w:cs="Times New Roman"/>
          <w:sz w:val="24"/>
          <w:szCs w:val="24"/>
        </w:rPr>
        <w:t xml:space="preserve">Напротив, открытые «розничные» фонды, ориентированные на население, отступили на второй и третий план: им становилось все труднее собирать взносы с уже имеющихся клиентов, не говоря уже о привлечении новых. Часть из них исчезла или закрылась, но, к счастью, без крупных скандалов (хотя некоторые количество «обманутых вкладчиков» все же было – можно вспомнить фонд «Аврора» из Санкт-Петербурга, Генеральный страховой пенсионный фонд, НПФ Русского продовольственного банка).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Важнейшее событие в жизни российских НПФ произошло 7 мая 1998 года: был принят федеральный закон № 75-ФЗ «О негосударственных пенсионных фондах», который, несмотря на ряд серьезных </w:t>
      </w:r>
      <w:proofErr w:type="gramStart"/>
      <w:r w:rsidRPr="00015D5A">
        <w:rPr>
          <w:rFonts w:ascii="Times New Roman" w:hAnsi="Times New Roman" w:cs="Times New Roman"/>
          <w:sz w:val="24"/>
          <w:szCs w:val="24"/>
        </w:rPr>
        <w:t>недоработок</w:t>
      </w:r>
      <w:proofErr w:type="gramEnd"/>
      <w:r w:rsidRPr="00015D5A">
        <w:rPr>
          <w:rFonts w:ascii="Times New Roman" w:hAnsi="Times New Roman" w:cs="Times New Roman"/>
          <w:sz w:val="24"/>
          <w:szCs w:val="24"/>
        </w:rPr>
        <w:t xml:space="preserve"> и противоречий, кардинально повысил качество правового регулирования НПФ.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lastRenderedPageBreak/>
        <w:t xml:space="preserve">Закон зафиксировал статус НПФ как особой организационно-правовой формы некоммерческой организации социального обеспечения с исключительными видами деятельности и особой системой регулирования.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Был кодифицирован целый ряд устоявшихся в практике правовых конструкций, часть из которых была введена еще указом № 1077, часть – постановлениями Правительства, часть – приказами Инспекции НПФ. В частности, Закон зафиксировал некоммерческий характер НПФ, исключительность их деятельности в сфере НПО, установил основные требования к фондам. Он определил понятия вкладчика фонда (лицо, платящее пенсионные взносы) и участника фонда (лицо, имеющее право на получение пенсии), их права и обязанности; понятия пенсионных правил, пенсионного договора, пенсионной схемы.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Закон также ввел норму об обособлении пенсионных резервов (имущество, формируемое за счет пенсионных взносов и инвестиционного дохода и предназначенное для обеспечения выплаты пенсий) от имущества фонда, предназначенного для обеспечения его деятельности. Были предусмотрены требования к обеспечению надежности НПФ и механизмы такого обеспечения (хотя некоторые из них выглядели довольно декларативно и не до конца реализованы до настоящего времени).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Закон установил, что инвестирование пенсионных резервов осуществляется в общем случае через управляющие компании, за исключением некоторых классов активов. Он также обозначил институт депозитария как профессионального хранителя активов НПФ. Законом также была определена система государственного регулирования НПФ и </w:t>
      </w:r>
      <w:proofErr w:type="gramStart"/>
      <w:r w:rsidRPr="00015D5A">
        <w:rPr>
          <w:rFonts w:ascii="Times New Roman" w:hAnsi="Times New Roman" w:cs="Times New Roman"/>
          <w:sz w:val="24"/>
          <w:szCs w:val="24"/>
        </w:rPr>
        <w:t>контроля за</w:t>
      </w:r>
      <w:proofErr w:type="gramEnd"/>
      <w:r w:rsidRPr="00015D5A">
        <w:rPr>
          <w:rFonts w:ascii="Times New Roman" w:hAnsi="Times New Roman" w:cs="Times New Roman"/>
          <w:sz w:val="24"/>
          <w:szCs w:val="24"/>
        </w:rPr>
        <w:t xml:space="preserve"> их деятельностью.</w:t>
      </w:r>
    </w:p>
    <w:p w:rsidR="004111E5" w:rsidRPr="00015D5A" w:rsidRDefault="004111E5" w:rsidP="004111E5">
      <w:pPr>
        <w:spacing w:line="360" w:lineRule="auto"/>
        <w:ind w:right="71" w:firstLine="540"/>
        <w:jc w:val="both"/>
        <w:rPr>
          <w:rFonts w:ascii="Times New Roman" w:hAnsi="Times New Roman" w:cs="Times New Roman"/>
          <w:i/>
          <w:sz w:val="24"/>
          <w:szCs w:val="24"/>
        </w:rPr>
      </w:pPr>
      <w:r w:rsidRPr="00015D5A">
        <w:rPr>
          <w:rFonts w:ascii="Times New Roman" w:hAnsi="Times New Roman" w:cs="Times New Roman"/>
          <w:sz w:val="24"/>
          <w:szCs w:val="24"/>
        </w:rPr>
        <w:t xml:space="preserve">Важно, что в процессе работы над законопроектом принимали участие представители НПФ, которые смогли отразить в нем ряд существенных  для себя моментов.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В целом в эти годы негосударственное пенсионное обеспечение развивалось поступательно. Росли активы отрасли, появлялись новые финансовые инструменты, которые использовались фондами – высокодоходные и ликвидные (до поры до времени) государственные облигации, акции российских приватизированных предприятий, корпоративные векселя. Однако</w:t>
      </w:r>
      <w:proofErr w:type="gramStart"/>
      <w:r w:rsidRPr="00015D5A">
        <w:rPr>
          <w:rFonts w:ascii="Times New Roman" w:hAnsi="Times New Roman" w:cs="Times New Roman"/>
          <w:sz w:val="24"/>
          <w:szCs w:val="24"/>
        </w:rPr>
        <w:t>,</w:t>
      </w:r>
      <w:proofErr w:type="gramEnd"/>
      <w:r w:rsidRPr="00015D5A">
        <w:rPr>
          <w:rFonts w:ascii="Times New Roman" w:hAnsi="Times New Roman" w:cs="Times New Roman"/>
          <w:sz w:val="24"/>
          <w:szCs w:val="24"/>
        </w:rPr>
        <w:t xml:space="preserve"> в это же время в экономике России надувался пузырь в виде пирамиды ГКО. Безудержные заимствования на внутреннем рынке, погашение долгов и процентов по ним за счет новых заимствований привели к тому, к чему должны </w:t>
      </w:r>
      <w:r w:rsidRPr="00015D5A">
        <w:rPr>
          <w:rFonts w:ascii="Times New Roman" w:hAnsi="Times New Roman" w:cs="Times New Roman"/>
          <w:sz w:val="24"/>
          <w:szCs w:val="24"/>
        </w:rPr>
        <w:lastRenderedPageBreak/>
        <w:t>были привести - 17 августа 1998 года был объявлен д</w:t>
      </w:r>
      <w:r w:rsidRPr="00015D5A">
        <w:rPr>
          <w:rFonts w:ascii="Times New Roman" w:hAnsi="Times New Roman" w:cs="Times New Roman"/>
          <w:bCs/>
          <w:sz w:val="24"/>
          <w:szCs w:val="24"/>
        </w:rPr>
        <w:t>ефолт</w:t>
      </w:r>
      <w:r w:rsidRPr="00015D5A">
        <w:rPr>
          <w:rFonts w:ascii="Times New Roman" w:hAnsi="Times New Roman" w:cs="Times New Roman"/>
          <w:sz w:val="24"/>
          <w:szCs w:val="24"/>
        </w:rPr>
        <w:t>, который стал с</w:t>
      </w:r>
      <w:r>
        <w:rPr>
          <w:rFonts w:ascii="Times New Roman" w:hAnsi="Times New Roman" w:cs="Times New Roman"/>
          <w:sz w:val="24"/>
          <w:szCs w:val="24"/>
        </w:rPr>
        <w:t xml:space="preserve">ерьезным ударом для отрасли негосударственного (дополнительного) пенсионного обеспечения (НПО) </w:t>
      </w:r>
      <w:r w:rsidRPr="00015D5A">
        <w:rPr>
          <w:rFonts w:ascii="Times New Roman" w:hAnsi="Times New Roman" w:cs="Times New Roman"/>
          <w:sz w:val="24"/>
          <w:szCs w:val="24"/>
        </w:rPr>
        <w:t xml:space="preserve">и едва не поставил под угрозу само ее выживание. </w:t>
      </w:r>
    </w:p>
    <w:p w:rsidR="004111E5" w:rsidRPr="00015D5A" w:rsidRDefault="004111E5" w:rsidP="004111E5">
      <w:pPr>
        <w:widowControl w:val="0"/>
        <w:spacing w:line="360" w:lineRule="auto"/>
        <w:ind w:right="71" w:firstLine="539"/>
        <w:jc w:val="both"/>
        <w:rPr>
          <w:rFonts w:ascii="Times New Roman" w:hAnsi="Times New Roman" w:cs="Times New Roman"/>
          <w:sz w:val="24"/>
          <w:szCs w:val="24"/>
        </w:rPr>
      </w:pPr>
      <w:r w:rsidRPr="00015D5A">
        <w:rPr>
          <w:rFonts w:ascii="Times New Roman" w:hAnsi="Times New Roman" w:cs="Times New Roman"/>
          <w:sz w:val="24"/>
          <w:szCs w:val="24"/>
        </w:rPr>
        <w:t xml:space="preserve">Однако НПФ оказались более «живучими», чем можно было ожидать. Предложенные Правительством условия реструктуризации задолженности по замороженным ГКО-ОФЗ были не лучшие из возможных условий реструктуризации, но даже они позволили фондам «выкарабкаться» (отметим, что в 1999 году было отозвано всего лишь 2 лицензии НПФ, а в 2000 году – 5). </w:t>
      </w:r>
    </w:p>
    <w:p w:rsidR="004111E5" w:rsidRPr="00015D5A" w:rsidRDefault="004111E5" w:rsidP="004111E5">
      <w:pPr>
        <w:spacing w:line="360" w:lineRule="auto"/>
        <w:ind w:right="71"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Естественно, легче </w:t>
      </w:r>
      <w:proofErr w:type="gramStart"/>
      <w:r w:rsidRPr="00015D5A">
        <w:rPr>
          <w:rFonts w:ascii="Times New Roman" w:hAnsi="Times New Roman" w:cs="Times New Roman"/>
          <w:sz w:val="24"/>
          <w:szCs w:val="24"/>
        </w:rPr>
        <w:t>открытых</w:t>
      </w:r>
      <w:proofErr w:type="gramEnd"/>
      <w:r w:rsidRPr="00015D5A">
        <w:rPr>
          <w:rFonts w:ascii="Times New Roman" w:hAnsi="Times New Roman" w:cs="Times New Roman"/>
          <w:sz w:val="24"/>
          <w:szCs w:val="24"/>
        </w:rPr>
        <w:t xml:space="preserve"> перенесли кризис корпоративные фонды. С одной стороны, их вкладчики (они же – учредители) в большинстве своем не собирались из-за кризиса сворачивать свои пенсионные программы, они не расторгали пенсионные договоры и не требовали от фондов выплаты выкупных сумм (хотя на первых порах и уменьшили свои пенсионные взносы). С другой стороны, для многих российских предприятий реального сектора финансовый кризис, как ни странно, оказался благом: из-за падения курса рубля их товары стали более конкурентоспособными как на внутреннем, так и на внешнем рынке. Улучшение экономических показателей этих предприятий позволило им со временем даже усилить финансирование своих пенсионных программ. В результате к 2000 году корпоративные фонды стали почти безраздельно доминировать в сфере НПО. </w:t>
      </w:r>
    </w:p>
    <w:p w:rsidR="004111E5" w:rsidRPr="00015D5A" w:rsidRDefault="004111E5" w:rsidP="004111E5">
      <w:pPr>
        <w:spacing w:line="360" w:lineRule="auto"/>
        <w:ind w:right="71" w:firstLine="709"/>
        <w:jc w:val="both"/>
        <w:rPr>
          <w:rFonts w:ascii="Times New Roman" w:hAnsi="Times New Roman" w:cs="Times New Roman"/>
          <w:sz w:val="24"/>
          <w:szCs w:val="24"/>
        </w:rPr>
      </w:pPr>
    </w:p>
    <w:p w:rsidR="004111E5" w:rsidRPr="00015D5A" w:rsidRDefault="004111E5" w:rsidP="004111E5">
      <w:pPr>
        <w:pStyle w:val="af1"/>
        <w:spacing w:before="0" w:beforeAutospacing="0" w:after="0" w:afterAutospacing="0" w:line="360" w:lineRule="auto"/>
        <w:ind w:firstLine="709"/>
        <w:jc w:val="both"/>
      </w:pPr>
      <w:r w:rsidRPr="00015D5A">
        <w:t xml:space="preserve">Период после дефолта характеризуется бурным развитием негосударственного пенсионного обеспечения, прежде всего в форме развития корпоративных пенсионных программ. </w:t>
      </w:r>
    </w:p>
    <w:p w:rsidR="004111E5" w:rsidRPr="00015D5A" w:rsidRDefault="004111E5" w:rsidP="004111E5">
      <w:pPr>
        <w:pStyle w:val="af1"/>
        <w:spacing w:before="0" w:beforeAutospacing="0" w:after="0" w:afterAutospacing="0" w:line="360" w:lineRule="auto"/>
        <w:ind w:firstLine="709"/>
        <w:jc w:val="both"/>
      </w:pPr>
      <w:r w:rsidRPr="00015D5A">
        <w:t xml:space="preserve">Особенностью этого этапа развития корпоративных программ является совершенствование их структуры. </w:t>
      </w:r>
      <w:proofErr w:type="gramStart"/>
      <w:r w:rsidRPr="00015D5A">
        <w:t>Если сразу после 1999 года корпоративные программы финансировались исключительно за счет взносов работодателя и использовали в значительной степени пенсионные планы с установленными выплатами, то потом, по мере накопления опыта и доверия участников программы наблюдается тенденция перехода к пенсионным планам с установленными взносами и широкое привлечение работников к совместному финансированию пенсионных программ.</w:t>
      </w:r>
      <w:proofErr w:type="gramEnd"/>
    </w:p>
    <w:p w:rsidR="004111E5" w:rsidRPr="00015D5A" w:rsidRDefault="004111E5" w:rsidP="004111E5">
      <w:pPr>
        <w:pStyle w:val="af1"/>
        <w:spacing w:before="0" w:beforeAutospacing="0" w:after="0" w:afterAutospacing="0" w:line="360" w:lineRule="auto"/>
        <w:ind w:firstLine="709"/>
        <w:jc w:val="both"/>
      </w:pPr>
      <w:r w:rsidRPr="00015D5A">
        <w:t xml:space="preserve">По результатам проведенного в конце 2006 года Ассоциацией менеджеров России исследования, в 53,5% корпоративных пенсионных программ практиковали совместное </w:t>
      </w:r>
      <w:r w:rsidRPr="00015D5A">
        <w:lastRenderedPageBreak/>
        <w:t xml:space="preserve">внесение взносов (в равных или неравных долях), а в 39,3%  – пенсионные взносы вносились только работодателем. </w:t>
      </w:r>
    </w:p>
    <w:p w:rsidR="004111E5" w:rsidRPr="00015D5A" w:rsidRDefault="004111E5" w:rsidP="004111E5">
      <w:pPr>
        <w:pStyle w:val="af1"/>
        <w:spacing w:before="0" w:beforeAutospacing="0" w:after="0" w:afterAutospacing="0" w:line="360" w:lineRule="auto"/>
        <w:ind w:firstLine="709"/>
        <w:jc w:val="both"/>
      </w:pPr>
      <w:r w:rsidRPr="00015D5A">
        <w:t>К 2007 году корпоративные пенсионные программы, в создании которых в большинстве случаев принимали участие и отраслевые профсоюзы, были внедрены на крупнейших российских компаниях (ОАО «Газпром», ОАО РЖД, «</w:t>
      </w:r>
      <w:proofErr w:type="spellStart"/>
      <w:r w:rsidRPr="00015D5A">
        <w:t>Транснефть</w:t>
      </w:r>
      <w:proofErr w:type="spellEnd"/>
      <w:r w:rsidRPr="00015D5A">
        <w:t xml:space="preserve">», ОАО «ЛУКОЙЛ», РАО «ЕЭС России», ГМК «Норильский никель», Магнитогорский металлургический комбинат, «Северсталь», «Сургутнефтегаз», Новолипецкий металлургический комбинат и др.). </w:t>
      </w:r>
    </w:p>
    <w:p w:rsidR="004111E5" w:rsidRPr="00015D5A" w:rsidRDefault="004111E5" w:rsidP="004111E5">
      <w:pPr>
        <w:pStyle w:val="af1"/>
        <w:spacing w:before="0" w:beforeAutospacing="0" w:after="0" w:afterAutospacing="0" w:line="360" w:lineRule="auto"/>
        <w:ind w:firstLine="709"/>
        <w:jc w:val="both"/>
      </w:pPr>
      <w:r w:rsidRPr="00015D5A">
        <w:t xml:space="preserve">Представители иностранных и транснациональных компаний на территории России (ТНК-ВР, </w:t>
      </w:r>
      <w:proofErr w:type="spellStart"/>
      <w:r w:rsidRPr="00015D5A">
        <w:rPr>
          <w:lang w:val="en-US"/>
        </w:rPr>
        <w:t>PhilipMorrisInternational</w:t>
      </w:r>
      <w:proofErr w:type="spellEnd"/>
      <w:r w:rsidRPr="00015D5A">
        <w:t xml:space="preserve">, </w:t>
      </w:r>
      <w:proofErr w:type="spellStart"/>
      <w:r w:rsidRPr="00015D5A">
        <w:t>British</w:t>
      </w:r>
      <w:proofErr w:type="spellEnd"/>
      <w:r w:rsidRPr="00015D5A">
        <w:t xml:space="preserve"> </w:t>
      </w:r>
      <w:proofErr w:type="spellStart"/>
      <w:r w:rsidRPr="00015D5A">
        <w:rPr>
          <w:lang w:val="en-GB"/>
        </w:rPr>
        <w:t>AmericanToba</w:t>
      </w:r>
      <w:proofErr w:type="gramStart"/>
      <w:r w:rsidRPr="00015D5A">
        <w:t>сс</w:t>
      </w:r>
      <w:proofErr w:type="spellEnd"/>
      <w:proofErr w:type="gramEnd"/>
      <w:r w:rsidRPr="00015D5A">
        <w:rPr>
          <w:lang w:val="en-GB"/>
        </w:rPr>
        <w:t>o</w:t>
      </w:r>
      <w:r w:rsidRPr="00015D5A">
        <w:t xml:space="preserve">, </w:t>
      </w:r>
      <w:proofErr w:type="spellStart"/>
      <w:r w:rsidRPr="00015D5A">
        <w:t>Tetra</w:t>
      </w:r>
      <w:proofErr w:type="spellEnd"/>
      <w:r w:rsidRPr="00015D5A">
        <w:t xml:space="preserve"> </w:t>
      </w:r>
      <w:proofErr w:type="spellStart"/>
      <w:r w:rsidRPr="00015D5A">
        <w:t>Pak</w:t>
      </w:r>
      <w:proofErr w:type="spellEnd"/>
      <w:r w:rsidRPr="00015D5A">
        <w:t xml:space="preserve">, </w:t>
      </w:r>
      <w:proofErr w:type="spellStart"/>
      <w:r w:rsidRPr="00015D5A">
        <w:rPr>
          <w:lang w:val="en-GB"/>
        </w:rPr>
        <w:t>Bonduelle</w:t>
      </w:r>
      <w:proofErr w:type="spellEnd"/>
      <w:r w:rsidRPr="00015D5A">
        <w:t xml:space="preserve"> и др.) также декларировали корпоративные пенсионные программы в рамках социального пакета, предоставляемого ими своим сотрудникам. </w:t>
      </w:r>
    </w:p>
    <w:p w:rsidR="004111E5" w:rsidRPr="00015D5A" w:rsidRDefault="004111E5" w:rsidP="004111E5">
      <w:pPr>
        <w:pStyle w:val="ae"/>
        <w:spacing w:line="360" w:lineRule="auto"/>
        <w:rPr>
          <w:rFonts w:ascii="Times New Roman" w:hAnsi="Times New Roman"/>
          <w:sz w:val="24"/>
          <w:szCs w:val="24"/>
        </w:rPr>
      </w:pPr>
      <w:r w:rsidRPr="00015D5A">
        <w:rPr>
          <w:rFonts w:ascii="Times New Roman" w:hAnsi="Times New Roman"/>
          <w:sz w:val="24"/>
          <w:szCs w:val="24"/>
        </w:rPr>
        <w:t>В период бурного развития негосударственного пенсионного обеспечения наблюдался и рост заинтересованности граждан в формировании своей пенсии. Существенную роль в этом росте сыграло широкое распространение пенсионных схем с совместным финансированием. К 2008 году доля взносов физических лиц достигла 16,7% и далее держалась примерно на том же уровне. При этом если к 2008 году по сравнению с 2002 годом общая сумма пенсионных взносов выросла в 4,88 раза, то сумма взносов физических лиц за этот же период  – в 14,3 раза.</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Опережающий рост взносов физических лиц отмечается и в настоящее время. В 2012 году общая сумма взносов составила 80585,7 млн. рублей и увеличилась по сравнению с докризисным 2007 годом на 42,9%. При этом сумма взносов юридических лиц (65049,1 млн. рублей) превысила взносы докризисного 2007 года на 39,4%, а сумма взносов физических лиц (15536,6 млн. рублей) увеличились на 59,8%. </w:t>
      </w:r>
    </w:p>
    <w:p w:rsidR="004111E5" w:rsidRPr="00015D5A" w:rsidRDefault="004111E5" w:rsidP="004111E5">
      <w:pPr>
        <w:pStyle w:val="af1"/>
        <w:spacing w:before="0" w:beforeAutospacing="0" w:after="0" w:afterAutospacing="0" w:line="360" w:lineRule="auto"/>
        <w:ind w:firstLine="709"/>
        <w:jc w:val="both"/>
      </w:pP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С 2002 года в России начался новый этап реформы государственной пенсионной системы, принципиально изменивший всю систему трудовых пенсий.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 соответствии с программой реформы, трудовая пенсия стала состоять из двух распределительных компонентов – уравнительной базовой части и страховой части, зависящей от суммы страховых взносов, фактически уплаченных за работника в распределительную пенсионную систему на протяжении его трудовой жизни и накопительной части, а также из накопительной части.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lastRenderedPageBreak/>
        <w:t xml:space="preserve">Распределительные компоненты трудовой пенсии финансируются за счет взносов, уплачиваемых предприятиями за своих работников, которые, будучи собраны, распределяются государственным Пенсионным фондом России между нынешними пенсионерами «с колес», немедленно.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Накопительная часть трудовой пенсии также формируется за счет страховых взносов, однако эти деньги не тратятся на выплату текущих пенсий, а инвестируются.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Работник имеет право выбрать, инвестировать ли свои пенсионные накопления: через частную управляющую компанию (ЧУК) или через негосударственный пенсионный фонд, однако по умолчанию (при отсутствии выбора) это инвестирование осуществляет государственная управляющая компания (ГУК). </w:t>
      </w:r>
    </w:p>
    <w:p w:rsidR="004111E5" w:rsidRPr="00015D5A" w:rsidRDefault="004111E5" w:rsidP="004111E5">
      <w:pPr>
        <w:spacing w:line="360" w:lineRule="auto"/>
        <w:ind w:right="71" w:firstLine="540"/>
        <w:jc w:val="both"/>
        <w:rPr>
          <w:rFonts w:ascii="Times New Roman" w:hAnsi="Times New Roman" w:cs="Times New Roman"/>
          <w:sz w:val="24"/>
          <w:szCs w:val="24"/>
        </w:rPr>
      </w:pPr>
      <w:proofErr w:type="gramStart"/>
      <w:r w:rsidRPr="00015D5A">
        <w:rPr>
          <w:rFonts w:ascii="Times New Roman" w:hAnsi="Times New Roman" w:cs="Times New Roman"/>
          <w:sz w:val="24"/>
          <w:szCs w:val="24"/>
        </w:rPr>
        <w:t>Участие НПФ в формировании накопительной части трудовой пенсии, именуемое термином «деятельность по обязательному пенсионному страхованию в качестве страховщика» (ОПС) осуществляется в соответствии с Федеральным законом от 10.01.2003 г. № 14-ФЗ «О внесении изменений и дополнений в федеральный закон «О негосударственных пенсионных фондах», который определил порядок допуска с 1 января 2004 года негосударственных пенсионных фондов к этому виду деятельности.</w:t>
      </w:r>
      <w:proofErr w:type="gramEnd"/>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Негосударственные пенсионные фонды активно включились в деятельность по ОПС в качестве страховщика. К началу 2008 года страховщиками по ОПС являлись уже 126 фондов. Из поданных гражданами заявлений о выборе частных структур 93,7% были заявления о выборе НПФ, а 6,3% - о выборе частных управляющих компаний.</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На 1 января2008 года собственное имущество негосударственных пенсионных фондов составило 602,8 млрд. рублей, из них 472,9 млрд. рублей пенсионные резервы и 26,5 млрд. рублей – пенсионные накопления. Накопительную часть пенсии в НПФ формировали 1877 тыс. человек (в 2,6 раза больше, чем в частных управляющих компаниях)</w:t>
      </w:r>
      <w:proofErr w:type="gramStart"/>
      <w:r w:rsidRPr="00015D5A">
        <w:rPr>
          <w:rFonts w:ascii="Times New Roman" w:hAnsi="Times New Roman" w:cs="Times New Roman"/>
          <w:sz w:val="24"/>
          <w:szCs w:val="24"/>
        </w:rPr>
        <w:t>.Ч</w:t>
      </w:r>
      <w:proofErr w:type="gramEnd"/>
      <w:r w:rsidRPr="00015D5A">
        <w:rPr>
          <w:rFonts w:ascii="Times New Roman" w:hAnsi="Times New Roman" w:cs="Times New Roman"/>
          <w:sz w:val="24"/>
          <w:szCs w:val="24"/>
        </w:rPr>
        <w:t xml:space="preserve">исло участников по негосударственному пенсионному обеспечению составляло 6757 тыс. человек. К этому моменту 1026 тыс. человек получали негосударственную пенсию, средний размер которой составлял 1125 рублей (26,7% от среднего размера трудовой пенсии). </w:t>
      </w: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 xml:space="preserve">В конце 2008 года в мировой экономике разразился кризис, который затронул также и экономику России. Влияние этого кризиса на деятельность негосударственных пенсионных фондов сказалось в гораздо меньшей степени, чем влияние дефолта 1998 года. Уже итоги 2009 года показали, что отрасль по большинству показателей преодолела </w:t>
      </w:r>
      <w:r w:rsidRPr="00015D5A">
        <w:rPr>
          <w:rFonts w:ascii="Times New Roman" w:hAnsi="Times New Roman" w:cs="Times New Roman"/>
          <w:sz w:val="24"/>
          <w:szCs w:val="24"/>
        </w:rPr>
        <w:lastRenderedPageBreak/>
        <w:t>последствия кризиса. Средняя доходность инвестирования пенсионных накоплений в 2009 году составила 21,6%, что позволило большинству фондов компенсировать потери 2008 года.</w:t>
      </w:r>
    </w:p>
    <w:p w:rsidR="004111E5" w:rsidRPr="00015D5A" w:rsidRDefault="004111E5" w:rsidP="004111E5">
      <w:pPr>
        <w:spacing w:line="360" w:lineRule="auto"/>
        <w:ind w:firstLine="706"/>
        <w:jc w:val="both"/>
        <w:rPr>
          <w:rFonts w:ascii="Times New Roman" w:hAnsi="Times New Roman" w:cs="Times New Roman"/>
          <w:sz w:val="24"/>
          <w:szCs w:val="24"/>
        </w:rPr>
      </w:pPr>
      <w:r w:rsidRPr="00015D5A">
        <w:rPr>
          <w:rFonts w:ascii="Times New Roman" w:hAnsi="Times New Roman" w:cs="Times New Roman"/>
          <w:sz w:val="24"/>
          <w:szCs w:val="24"/>
        </w:rPr>
        <w:t>По сравнению с концом докризисного 2007 года (1 января 2008 года) на 1 января 2010 года</w:t>
      </w:r>
    </w:p>
    <w:p w:rsidR="004111E5" w:rsidRPr="00015D5A" w:rsidRDefault="004111E5" w:rsidP="004111E5">
      <w:pPr>
        <w:pStyle w:val="af0"/>
        <w:numPr>
          <w:ilvl w:val="0"/>
          <w:numId w:val="1"/>
        </w:numPr>
        <w:spacing w:line="360" w:lineRule="auto"/>
        <w:jc w:val="both"/>
      </w:pPr>
      <w:r w:rsidRPr="00015D5A">
        <w:t>пенсионные резервы выросли на 1</w:t>
      </w:r>
      <w:r w:rsidRPr="00015D5A">
        <w:rPr>
          <w:lang w:val="en-US"/>
        </w:rPr>
        <w:t>9</w:t>
      </w:r>
      <w:r w:rsidRPr="00015D5A">
        <w:t>,3%;</w:t>
      </w:r>
    </w:p>
    <w:p w:rsidR="004111E5" w:rsidRPr="00015D5A" w:rsidRDefault="004111E5" w:rsidP="004111E5">
      <w:pPr>
        <w:pStyle w:val="af0"/>
        <w:numPr>
          <w:ilvl w:val="0"/>
          <w:numId w:val="1"/>
        </w:numPr>
        <w:spacing w:line="360" w:lineRule="auto"/>
        <w:jc w:val="both"/>
      </w:pPr>
      <w:r w:rsidRPr="00015D5A">
        <w:t>пенсионные накопления выросли в 2,9 раза, а с учетом средств, поступивших в феврале – апреле 2010 года – в 5,1 раза;</w:t>
      </w:r>
    </w:p>
    <w:p w:rsidR="004111E5" w:rsidRPr="00015D5A" w:rsidRDefault="004111E5" w:rsidP="004111E5">
      <w:pPr>
        <w:pStyle w:val="af0"/>
        <w:numPr>
          <w:ilvl w:val="0"/>
          <w:numId w:val="1"/>
        </w:numPr>
        <w:spacing w:line="360" w:lineRule="auto"/>
        <w:jc w:val="both"/>
      </w:pPr>
      <w:r w:rsidRPr="00015D5A">
        <w:t>число застрахованных лиц, формирующих накопительную часть пенсии в НПФ, выросло в 3 раза, а с учетом застрахованных лиц, подавших по итогам 2009 года заявление о переходе из ПФР в НПФ, в 4,2 раза и достигло 7936,6 тыс. человек;</w:t>
      </w:r>
    </w:p>
    <w:p w:rsidR="004111E5" w:rsidRPr="00015D5A" w:rsidRDefault="004111E5" w:rsidP="004111E5">
      <w:pPr>
        <w:pStyle w:val="af0"/>
        <w:numPr>
          <w:ilvl w:val="0"/>
          <w:numId w:val="1"/>
        </w:numPr>
        <w:spacing w:line="360" w:lineRule="auto"/>
        <w:jc w:val="both"/>
      </w:pPr>
      <w:r w:rsidRPr="00015D5A">
        <w:t>фонды продолжали устойчиво наращивать выплату негосударственных пенсий:</w:t>
      </w:r>
    </w:p>
    <w:p w:rsidR="004111E5" w:rsidRPr="00015D5A" w:rsidRDefault="004111E5" w:rsidP="004111E5">
      <w:pPr>
        <w:pStyle w:val="af0"/>
        <w:numPr>
          <w:ilvl w:val="1"/>
          <w:numId w:val="1"/>
        </w:numPr>
        <w:spacing w:line="360" w:lineRule="auto"/>
        <w:jc w:val="both"/>
      </w:pPr>
      <w:r w:rsidRPr="00015D5A">
        <w:t>число пенсионеров выросло с 1026,2 тыс. чел до 1274,5 тыс. чел.;</w:t>
      </w:r>
    </w:p>
    <w:p w:rsidR="004111E5" w:rsidRPr="00015D5A" w:rsidRDefault="004111E5" w:rsidP="004111E5">
      <w:pPr>
        <w:pStyle w:val="af0"/>
        <w:numPr>
          <w:ilvl w:val="1"/>
          <w:numId w:val="1"/>
        </w:numPr>
        <w:spacing w:line="360" w:lineRule="auto"/>
        <w:jc w:val="both"/>
      </w:pPr>
      <w:r w:rsidRPr="00015D5A">
        <w:t>пенсионные выплаты – в 1,6 раза.</w:t>
      </w:r>
    </w:p>
    <w:p w:rsidR="004111E5" w:rsidRPr="00015D5A" w:rsidRDefault="004111E5" w:rsidP="004111E5">
      <w:pPr>
        <w:pStyle w:val="af2"/>
        <w:spacing w:line="360" w:lineRule="auto"/>
      </w:pPr>
    </w:p>
    <w:p w:rsidR="004111E5" w:rsidRPr="00015D5A" w:rsidRDefault="004111E5" w:rsidP="004111E5">
      <w:pPr>
        <w:spacing w:line="360" w:lineRule="auto"/>
        <w:ind w:right="71" w:firstLine="540"/>
        <w:jc w:val="both"/>
        <w:rPr>
          <w:rFonts w:ascii="Times New Roman" w:hAnsi="Times New Roman" w:cs="Times New Roman"/>
          <w:sz w:val="24"/>
          <w:szCs w:val="24"/>
        </w:rPr>
      </w:pPr>
    </w:p>
    <w:p w:rsidR="004111E5" w:rsidRPr="00015D5A" w:rsidRDefault="004111E5" w:rsidP="004111E5">
      <w:pPr>
        <w:spacing w:line="360" w:lineRule="auto"/>
        <w:ind w:right="71" w:firstLine="540"/>
        <w:jc w:val="both"/>
        <w:rPr>
          <w:rFonts w:ascii="Times New Roman" w:hAnsi="Times New Roman" w:cs="Times New Roman"/>
          <w:sz w:val="24"/>
          <w:szCs w:val="24"/>
        </w:rPr>
      </w:pPr>
      <w:r w:rsidRPr="00015D5A">
        <w:rPr>
          <w:rFonts w:ascii="Times New Roman" w:hAnsi="Times New Roman" w:cs="Times New Roman"/>
          <w:sz w:val="24"/>
          <w:szCs w:val="24"/>
        </w:rPr>
        <w:t>Рост участия НПФ в обязательном пенсионном страховании потребовал повышения требований к качеству и надежности их деятельности:</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1. Были установлены новый порядок лицензирования деятельности фондов, существенно повышены требования к размеру имущества фондов, ужесточены требования к квалификации лиц, назначаемых на должность единоличного исполнительного органа и главного бухгалтера фонда.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2. Введено понятие внутреннего контроля, требования к квалификации лиц, назначаемых на должность внутреннего контролера, порядку разработки правил осуществления внутреннего контроля, его утверждения и регистрации в </w:t>
      </w:r>
      <w:r>
        <w:rPr>
          <w:rFonts w:ascii="Times New Roman" w:hAnsi="Times New Roman" w:cs="Times New Roman"/>
          <w:sz w:val="24"/>
          <w:szCs w:val="24"/>
        </w:rPr>
        <w:t>уполномоченном федеральном органе (</w:t>
      </w:r>
      <w:r w:rsidRPr="00015D5A">
        <w:rPr>
          <w:rFonts w:ascii="Times New Roman" w:hAnsi="Times New Roman" w:cs="Times New Roman"/>
          <w:sz w:val="24"/>
          <w:szCs w:val="24"/>
        </w:rPr>
        <w:t>УФО</w:t>
      </w:r>
      <w:r>
        <w:rPr>
          <w:rFonts w:ascii="Times New Roman" w:hAnsi="Times New Roman" w:cs="Times New Roman"/>
          <w:sz w:val="24"/>
          <w:szCs w:val="24"/>
        </w:rPr>
        <w:t>)</w:t>
      </w:r>
      <w:r w:rsidRPr="00015D5A">
        <w:rPr>
          <w:rFonts w:ascii="Times New Roman" w:hAnsi="Times New Roman" w:cs="Times New Roman"/>
          <w:sz w:val="24"/>
          <w:szCs w:val="24"/>
        </w:rPr>
        <w:t>.</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3. Большое внимание было уделено повышению информационной открытости негосударственных пенсионных фондов:</w:t>
      </w:r>
    </w:p>
    <w:p w:rsidR="004111E5" w:rsidRPr="00015D5A" w:rsidRDefault="004111E5" w:rsidP="004111E5">
      <w:pPr>
        <w:pStyle w:val="af0"/>
        <w:numPr>
          <w:ilvl w:val="0"/>
          <w:numId w:val="2"/>
        </w:numPr>
        <w:spacing w:line="360" w:lineRule="auto"/>
        <w:jc w:val="both"/>
      </w:pPr>
      <w:r w:rsidRPr="00015D5A">
        <w:t>установлена обязанность фонда иметь сайт в сети  Интернет, причем право на доменное имя сайта должно принадлежать фонду;</w:t>
      </w:r>
    </w:p>
    <w:p w:rsidR="004111E5" w:rsidRPr="00015D5A" w:rsidRDefault="004111E5" w:rsidP="004111E5">
      <w:pPr>
        <w:pStyle w:val="af0"/>
        <w:numPr>
          <w:ilvl w:val="0"/>
          <w:numId w:val="2"/>
        </w:numPr>
        <w:spacing w:line="360" w:lineRule="auto"/>
        <w:jc w:val="both"/>
      </w:pPr>
      <w:r w:rsidRPr="00015D5A">
        <w:lastRenderedPageBreak/>
        <w:t>установлен перечень информации, подлежащей обязательному раскрытию фондами;</w:t>
      </w:r>
    </w:p>
    <w:p w:rsidR="004111E5" w:rsidRPr="00015D5A" w:rsidRDefault="004111E5" w:rsidP="004111E5">
      <w:pPr>
        <w:pStyle w:val="af0"/>
        <w:numPr>
          <w:ilvl w:val="0"/>
          <w:numId w:val="2"/>
        </w:numPr>
        <w:spacing w:line="360" w:lineRule="auto"/>
        <w:jc w:val="both"/>
      </w:pPr>
      <w:r w:rsidRPr="00015D5A">
        <w:t>установлен перечень информации, предоставляемой  по требованию заинтересованных лиц;</w:t>
      </w:r>
    </w:p>
    <w:p w:rsidR="004111E5" w:rsidRPr="00015D5A" w:rsidRDefault="004111E5" w:rsidP="004111E5">
      <w:pPr>
        <w:pStyle w:val="af0"/>
        <w:numPr>
          <w:ilvl w:val="0"/>
          <w:numId w:val="2"/>
        </w:numPr>
        <w:spacing w:line="360" w:lineRule="auto"/>
        <w:jc w:val="both"/>
      </w:pPr>
      <w:r w:rsidRPr="00015D5A">
        <w:t>установлены требования к распространяемой, раскрываемой и предоставляемой фондами информации, ее содержанию документальному подтверждению;</w:t>
      </w:r>
    </w:p>
    <w:p w:rsidR="004111E5" w:rsidRPr="00015D5A" w:rsidRDefault="004111E5" w:rsidP="004111E5">
      <w:pPr>
        <w:pStyle w:val="af0"/>
        <w:numPr>
          <w:ilvl w:val="0"/>
          <w:numId w:val="2"/>
        </w:numPr>
        <w:spacing w:line="360" w:lineRule="auto"/>
        <w:jc w:val="both"/>
      </w:pPr>
      <w:r w:rsidRPr="00015D5A">
        <w:t xml:space="preserve">введен запрет на распространение информации как об НПФ организациями, не имеющими лицензии, </w:t>
      </w:r>
    </w:p>
    <w:p w:rsidR="004111E5" w:rsidRPr="00015D5A" w:rsidRDefault="004111E5" w:rsidP="004111E5">
      <w:pPr>
        <w:pStyle w:val="af0"/>
        <w:numPr>
          <w:ilvl w:val="0"/>
          <w:numId w:val="2"/>
        </w:numPr>
        <w:spacing w:line="360" w:lineRule="auto"/>
        <w:jc w:val="both"/>
      </w:pPr>
      <w:r w:rsidRPr="00015D5A">
        <w:t>установлено право УФО потребовать подтверждения распространяемой фондом информации.</w:t>
      </w:r>
    </w:p>
    <w:p w:rsidR="004111E5" w:rsidRPr="00015D5A" w:rsidRDefault="004111E5" w:rsidP="004111E5">
      <w:pPr>
        <w:widowControl w:val="0"/>
        <w:autoSpaceDE w:val="0"/>
        <w:autoSpaceDN w:val="0"/>
        <w:adjustRightInd w:val="0"/>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Кроме этого, определены права и обязанности уполномоченного федерального органа, осуществляющего в целях соблюдения требований законодательства, защиты прав и интересов участников и застрахованных лиц, иных заинтересованных лиц и государства государственное регулирование деятельности фондов в области негосударственного пенсионного обеспечения, обязательного пенсионного страхования и профессионального пенсионного страхования, надзор и </w:t>
      </w:r>
      <w:proofErr w:type="gramStart"/>
      <w:r w:rsidRPr="00015D5A">
        <w:rPr>
          <w:rFonts w:ascii="Times New Roman" w:hAnsi="Times New Roman" w:cs="Times New Roman"/>
          <w:sz w:val="24"/>
          <w:szCs w:val="24"/>
        </w:rPr>
        <w:t>контроль за</w:t>
      </w:r>
      <w:proofErr w:type="gramEnd"/>
      <w:r w:rsidRPr="00015D5A">
        <w:rPr>
          <w:rFonts w:ascii="Times New Roman" w:hAnsi="Times New Roman" w:cs="Times New Roman"/>
          <w:sz w:val="24"/>
          <w:szCs w:val="24"/>
        </w:rPr>
        <w:t xml:space="preserve"> указанной деятельностью.</w:t>
      </w:r>
    </w:p>
    <w:p w:rsidR="004111E5" w:rsidRPr="00015D5A" w:rsidRDefault="004111E5" w:rsidP="004111E5">
      <w:pPr>
        <w:spacing w:line="360" w:lineRule="auto"/>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Важным этапом развития пенсионной системы России стало принятие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который вступил в силу 1 октября 2008 г.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 течение 2012 года 2116 тыс. человек (51,6% всех вступивших в этом году в Программу) одновременно с заявлением о переходе из Пенсионного фонда России в НПФ подали заявление о вступлении в программу государственного </w:t>
      </w:r>
      <w:proofErr w:type="spellStart"/>
      <w:r w:rsidRPr="00015D5A">
        <w:rPr>
          <w:rFonts w:ascii="Times New Roman" w:hAnsi="Times New Roman" w:cs="Times New Roman"/>
          <w:sz w:val="24"/>
          <w:szCs w:val="24"/>
        </w:rPr>
        <w:t>софинансирования</w:t>
      </w:r>
      <w:proofErr w:type="spellEnd"/>
      <w:r w:rsidRPr="00015D5A">
        <w:rPr>
          <w:rFonts w:ascii="Times New Roman" w:hAnsi="Times New Roman" w:cs="Times New Roman"/>
          <w:sz w:val="24"/>
          <w:szCs w:val="24"/>
        </w:rPr>
        <w:t xml:space="preserve">. Эта цифра подтверждает вывод, что негосударственные пенсионные фонды выбирает, прежде всего, та часть населения, которая наиболее осознанно относится к формированию накопительной части своей трудовой пенсии.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1 июля 2012 года вступил в силу Федеральный закон от 30 ноября 2011 г. N 360-ФЗ  «О порядке финансирования выплат за счет средств пенсионных накоплений» и началось осуществление этих выплат.</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Пенсионным фондом России в течение второго полугодия 2012 года осуществлены выплаты 1 593,8 тыс. застрахованных лиц, 99,7% которых осуществлены в форме </w:t>
      </w:r>
      <w:r w:rsidRPr="00015D5A">
        <w:rPr>
          <w:rFonts w:ascii="Times New Roman" w:hAnsi="Times New Roman" w:cs="Times New Roman"/>
          <w:sz w:val="24"/>
          <w:szCs w:val="24"/>
        </w:rPr>
        <w:lastRenderedPageBreak/>
        <w:t xml:space="preserve">единовременных выплат. Средний размер единовременной выплаты составил 7397 рублей.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Негосударственные пенсионные фонды в течение этого же периода осуществили выплаты 125,2 тысячам человек на общую сумму 2639,8 млн. рублей, 97,5% всех выплат осуществлены в виде единовременной выплаты.</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Средний размер выплат из НПФ составил:</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Накопительной части трудовой пенсии</w:t>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t>575 руб.</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Срочной пенсионной выплаты</w:t>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t>711 руб.</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Единовременной выплаты</w:t>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r>
      <w:r w:rsidRPr="00015D5A">
        <w:rPr>
          <w:rFonts w:ascii="Times New Roman" w:hAnsi="Times New Roman" w:cs="Times New Roman"/>
          <w:sz w:val="24"/>
          <w:szCs w:val="24"/>
        </w:rPr>
        <w:tab/>
        <w:t>15273 руб.</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В октябре 2009 года число застрахованных лиц превысило число участников по НПО, а в марте 2013 года сумма сформированных негосударственными пенсионными фондами пенсионных накоплений превысила сумму пенсионных резервов.</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Несмотря на интенсивную кампанию по дискредитации негосударственных пенсионных фондов, развернутую в средствах массовой информации, в течение 2010 -2012 гг. ежегодно в негосударственные пенсионные фонды из ПФР переходило более 4 млн. застрахованных лиц. За 9 месяцев 2013 года по данным ПФР еще 5151 тыс. застрахованных лиц подали заявления о переходе в НПФ из Пенсионного фонда России.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По предварительным оценкам, число застрахованных лиц, выбравших негосударственный пенсионный фонд для формирования своих пенсионных накоплений, превысит 25 – 26 миллионов человек, что составляет более половины (56,2%) числа застрахованных лиц, в пользу которых осуществляется уплата страховых взносов в ПФР.</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Выполнению негосударственными пенсионными фондами поставленных перед ними задач должно способствовать активное участие представителей негосударственных пенсионных фондов в лице их саморегулируемой организации Национальной ассоциации негосударственных пенсионных фондов (НАПФ) в разработке перспективных направлений развития пенсионной системы, законопроектов и других нормативных документов. Комплексная проработка перспективных вопросов развития системы </w:t>
      </w:r>
      <w:r w:rsidRPr="00015D5A">
        <w:rPr>
          <w:rFonts w:ascii="Times New Roman" w:hAnsi="Times New Roman" w:cs="Times New Roman"/>
          <w:sz w:val="24"/>
          <w:szCs w:val="24"/>
        </w:rPr>
        <w:lastRenderedPageBreak/>
        <w:t>накопительных пенсий и негосударственного пенсионного обеспечения в увязке с другими вопросами развития пенсионной системы, закреплена «Стратегией долгосрочного развития пенсионной системы Российской Федерации», которая была утверждена распоряжением Правительства Российской Федерации от 25 декабря 2012 г. № 2524</w:t>
      </w:r>
      <w:r w:rsidRPr="00015D5A">
        <w:rPr>
          <w:rFonts w:ascii="Times New Roman" w:hAnsi="Times New Roman" w:cs="Times New Roman"/>
          <w:sz w:val="24"/>
          <w:szCs w:val="24"/>
        </w:rPr>
        <w:noBreakHyphen/>
        <w:t xml:space="preserve">р.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К числу таких вопросов относятся: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1. Вопросы выбора способа формирования пенсионных накоплений и обеспечения действительного волеизъявления граждан при выборе места формирования пенсионных накоплений.</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2. Формирование системы гарантирования прав застрахованных лиц при назначении накопительной пенсии, срочной или единовременной выплаты средств пенсионных накоплений.</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3. Обеспечение выплат за счет пенсионных накоплений.</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4. Развитие негосударственного пенсионного обеспечения и, прежде всего, корпоративных пенсионных систем.</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5. Повышение эффективности инвестирования пенсионных средств.</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6. Повышение надежности НПФ, в том числе развитие риск-менеджмента, решение вопросов отражения отрицательных результатов инвестирования, совершенствование организационн</w:t>
      </w:r>
      <w:proofErr w:type="gramStart"/>
      <w:r w:rsidRPr="00015D5A">
        <w:rPr>
          <w:rFonts w:ascii="Times New Roman" w:hAnsi="Times New Roman" w:cs="Times New Roman"/>
          <w:sz w:val="24"/>
          <w:szCs w:val="24"/>
        </w:rPr>
        <w:t>о-</w:t>
      </w:r>
      <w:proofErr w:type="gramEnd"/>
      <w:r w:rsidRPr="00015D5A">
        <w:rPr>
          <w:rFonts w:ascii="Times New Roman" w:hAnsi="Times New Roman" w:cs="Times New Roman"/>
          <w:sz w:val="24"/>
          <w:szCs w:val="24"/>
        </w:rPr>
        <w:t xml:space="preserve"> правовой формы НПФ.</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7. Развитие государственного регулирования и саморегулирования.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Негосударственные пенсии позволяют гибко учитывать отраслевые и территориальные особенности, а также индивидуальные запросы и ожидания граждан при определении суммарного уровня материального обеспечения по окончании трудовой деятельности.</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Дальнейшее расширение и развитие дополнительного (негосударственного) пенсионного обеспечения и страхования дает возможность решать следующие задачи:</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t>повышение уровня жизни пенсионеров - участников негосударственных пенсионных фондов и других категорий граждан, охватываемых дополнительными видами пенсионного обеспечения и страхования;</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lastRenderedPageBreak/>
        <w:t>развитие социального партнерства работодателей и работников;</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t>привлечение свободных средств организаций и граждан в российскую экономику для финансирования государственных инвестиционных проектов и программ через систему размещения пенсионных резервов негосударственных пенсионных фондов;</w:t>
      </w:r>
    </w:p>
    <w:p w:rsidR="004111E5" w:rsidRPr="00015D5A" w:rsidRDefault="004111E5" w:rsidP="004111E5">
      <w:pPr>
        <w:numPr>
          <w:ilvl w:val="0"/>
          <w:numId w:val="4"/>
        </w:numPr>
        <w:spacing w:after="0" w:line="360" w:lineRule="auto"/>
        <w:jc w:val="both"/>
        <w:rPr>
          <w:rFonts w:ascii="Times New Roman" w:hAnsi="Times New Roman" w:cs="Times New Roman"/>
          <w:sz w:val="24"/>
          <w:szCs w:val="24"/>
        </w:rPr>
      </w:pPr>
      <w:r w:rsidRPr="00015D5A">
        <w:rPr>
          <w:rFonts w:ascii="Times New Roman" w:hAnsi="Times New Roman" w:cs="Times New Roman"/>
          <w:sz w:val="24"/>
          <w:szCs w:val="24"/>
        </w:rPr>
        <w:t>использование влияния пенсионных планов (программ) предприятий, отраслей и регионов для решения вопросов занятости и перераспределения экономически активного населения.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Важнейшим условием развития негосударственного пенсионного обеспечения является заинтересованное отношение государства, работодателей и профсоюзов к формированию корпоративных пенсионных систем, дальнейшее развитие принципов социального партнерства. Этому способствовало бы проведение регулярных консультаций по вопросам создания таких систем в рамках Российской Трехсторонней комиссии по регулированию социально-трудовых отношений и других институтов социального взаимодействия.</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Построение полномасштабной системы пенсионного обеспечения в рамках трехуровневой модели невозможно без создания новых и развития действующих систем корпоративного пенсионного обеспечения.</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С целью реализации этих задач в конце 2013 года Государственной думой рассмотрен и принят комплекс законов, вносящих существенные изменения в действующую пенсионную систему России. </w:t>
      </w:r>
    </w:p>
    <w:p w:rsidR="004111E5" w:rsidRPr="00015D5A" w:rsidRDefault="004111E5" w:rsidP="004111E5">
      <w:pPr>
        <w:spacing w:line="360" w:lineRule="auto"/>
        <w:ind w:firstLine="709"/>
        <w:jc w:val="both"/>
        <w:rPr>
          <w:rStyle w:val="apple-converted-space"/>
          <w:rFonts w:ascii="Times New Roman" w:hAnsi="Times New Roman" w:cs="Times New Roman"/>
          <w:color w:val="000000"/>
          <w:sz w:val="24"/>
          <w:szCs w:val="24"/>
          <w:shd w:val="clear" w:color="auto" w:fill="FFFFFF"/>
        </w:rPr>
      </w:pPr>
      <w:r w:rsidRPr="00015D5A">
        <w:rPr>
          <w:rFonts w:ascii="Times New Roman" w:hAnsi="Times New Roman" w:cs="Times New Roman"/>
          <w:sz w:val="24"/>
          <w:szCs w:val="24"/>
        </w:rPr>
        <w:t xml:space="preserve">Одним из первых принятых законов был </w:t>
      </w:r>
      <w:r w:rsidRPr="00015D5A">
        <w:rPr>
          <w:rFonts w:ascii="Times New Roman" w:hAnsi="Times New Roman" w:cs="Times New Roman"/>
          <w:sz w:val="24"/>
          <w:szCs w:val="24"/>
          <w:shd w:val="clear" w:color="auto" w:fill="FFFFFF"/>
        </w:rPr>
        <w:t xml:space="preserve">Федеральный закон от 23.07.2013 г. № 211-ФЗ "О внесении изменений в Федеральный закон "О негосударственных пенсионных фондах" и отдельные законодательные акты Российской Федерации", которым </w:t>
      </w:r>
      <w:r w:rsidRPr="00015D5A">
        <w:rPr>
          <w:rFonts w:ascii="Times New Roman" w:hAnsi="Times New Roman" w:cs="Times New Roman"/>
          <w:sz w:val="24"/>
          <w:szCs w:val="24"/>
        </w:rPr>
        <w:t>в</w:t>
      </w:r>
      <w:r w:rsidRPr="00015D5A">
        <w:rPr>
          <w:rFonts w:ascii="Times New Roman" w:hAnsi="Times New Roman" w:cs="Times New Roman"/>
          <w:color w:val="000000"/>
          <w:sz w:val="24"/>
          <w:szCs w:val="24"/>
          <w:shd w:val="clear" w:color="auto" w:fill="FFFFFF"/>
        </w:rPr>
        <w:t xml:space="preserve">водится административная ответственность за представление негосударственным пенсионным фондом в ПФР недостоверных сведений в уведомлении о вновь заключенных </w:t>
      </w:r>
      <w:proofErr w:type="gramStart"/>
      <w:r w:rsidRPr="00015D5A">
        <w:rPr>
          <w:rFonts w:ascii="Times New Roman" w:hAnsi="Times New Roman" w:cs="Times New Roman"/>
          <w:color w:val="000000"/>
          <w:sz w:val="24"/>
          <w:szCs w:val="24"/>
          <w:shd w:val="clear" w:color="auto" w:fill="FFFFFF"/>
        </w:rPr>
        <w:t>договорах</w:t>
      </w:r>
      <w:proofErr w:type="gramEnd"/>
      <w:r w:rsidRPr="00015D5A">
        <w:rPr>
          <w:rFonts w:ascii="Times New Roman" w:hAnsi="Times New Roman" w:cs="Times New Roman"/>
          <w:color w:val="000000"/>
          <w:sz w:val="24"/>
          <w:szCs w:val="24"/>
          <w:shd w:val="clear" w:color="auto" w:fill="FFFFFF"/>
        </w:rPr>
        <w:t xml:space="preserve"> об обязательном пенсионном страховании (ОПС), а также подложных заявлений застрахованных лиц о выборе страховщика по ОПС и (или) договоров об ОПС.</w:t>
      </w:r>
    </w:p>
    <w:p w:rsidR="004111E5" w:rsidRPr="00015D5A" w:rsidRDefault="004111E5" w:rsidP="004111E5">
      <w:pPr>
        <w:pStyle w:val="af1"/>
        <w:spacing w:before="0" w:beforeAutospacing="0" w:after="0" w:afterAutospacing="0" w:line="360" w:lineRule="auto"/>
        <w:ind w:firstLine="709"/>
        <w:jc w:val="both"/>
      </w:pPr>
      <w:r w:rsidRPr="00015D5A">
        <w:t xml:space="preserve">4 декабря </w:t>
      </w:r>
      <w:r>
        <w:t xml:space="preserve">был </w:t>
      </w:r>
      <w:r w:rsidRPr="00015D5A">
        <w:t xml:space="preserve">подписан Федеральный закон № 351-ФЗ «О внесении изменений в отдельные законодательные акты Российской Федерации по вопросам обязательного </w:t>
      </w:r>
      <w:r w:rsidRPr="00015D5A">
        <w:lastRenderedPageBreak/>
        <w:t>пенсионного страхования в части права выбора застрахованными лицами варианта пенсионного обеспечения».</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В соответствии с этим законом граждане 1967 г. рождения и моложе должны до конца 2015 г. определиться - формировать или нет накопительную часть трудовой пенсии.</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 xml:space="preserve">В случае положительного решения требуется перевести свои пенсионные накопления в НПФ или частную управляющую компанию, либо выбрать один из возможных инвестиционных портфелей </w:t>
      </w:r>
      <w:proofErr w:type="gramStart"/>
      <w:r w:rsidRPr="00015D5A">
        <w:rPr>
          <w:color w:val="000000"/>
        </w:rPr>
        <w:t>государственной</w:t>
      </w:r>
      <w:proofErr w:type="gramEnd"/>
      <w:r w:rsidRPr="00015D5A">
        <w:rPr>
          <w:color w:val="000000"/>
        </w:rPr>
        <w:t xml:space="preserve"> УК (расширенный или портфель госбумаг). При этом тариф на накопительную часть пенсии по-прежнему составит 6%.</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proofErr w:type="gramStart"/>
      <w:r w:rsidRPr="00015D5A">
        <w:rPr>
          <w:color w:val="000000"/>
        </w:rPr>
        <w:t>Для "молчунов", чьи накопления находятся в ПФР и которые ни разу не воспользовались правом выбора инвестиционного портфеля УК или переходом в НПФ, тариф составит 0%. Таким образом, они, по сути, откажутся от финансирования накопительной части трудовой пенсии и все 6% пойдут в страховую часть и будут учтены при индексации их расчетного пенсионного капитала.</w:t>
      </w:r>
      <w:proofErr w:type="gramEnd"/>
      <w:r w:rsidRPr="00015D5A">
        <w:rPr>
          <w:color w:val="000000"/>
        </w:rPr>
        <w:t xml:space="preserve"> Кроме того, при выборе инвестиционного портфеля государственной УК граждане вправе изменить вариант своего пенсионного обеспечения, отказавшись от накопительной части пенсии.</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Для молодежи, начинающей трудовую деятельность и впервые вступающей в систему ОПС с 2014 г., на выбор варианта пенсионного обеспечения отводится 5 лет. До тех пор, пока лицо не сделает выбор, тариф для него будет составлять 0%.</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28 декабря 2013 года Президентом Российской Федерации был подписан комплекс законов, определяющих новую структуру пенсионной системы России:</w:t>
      </w:r>
    </w:p>
    <w:p w:rsidR="004111E5" w:rsidRPr="00015D5A" w:rsidRDefault="004111E5" w:rsidP="004111E5">
      <w:pPr>
        <w:pStyle w:val="af0"/>
        <w:numPr>
          <w:ilvl w:val="0"/>
          <w:numId w:val="6"/>
        </w:numPr>
        <w:spacing w:line="360" w:lineRule="auto"/>
        <w:jc w:val="both"/>
      </w:pPr>
      <w:r w:rsidRPr="00015D5A">
        <w:rPr>
          <w:rFonts w:eastAsia="Calibri"/>
        </w:rPr>
        <w:t>Федеральный закон от 28.12.2013 № 400-ФЗ «</w:t>
      </w:r>
      <w:r w:rsidRPr="00015D5A">
        <w:t>О страховых пенсиях»;</w:t>
      </w:r>
    </w:p>
    <w:p w:rsidR="004111E5" w:rsidRPr="00015D5A" w:rsidRDefault="004111E5" w:rsidP="004111E5">
      <w:pPr>
        <w:pStyle w:val="af0"/>
        <w:widowControl w:val="0"/>
        <w:numPr>
          <w:ilvl w:val="0"/>
          <w:numId w:val="6"/>
        </w:numPr>
        <w:shd w:val="clear" w:color="auto" w:fill="FFFFFF"/>
        <w:autoSpaceDE w:val="0"/>
        <w:autoSpaceDN w:val="0"/>
        <w:adjustRightInd w:val="0"/>
        <w:spacing w:line="360" w:lineRule="auto"/>
        <w:jc w:val="both"/>
        <w:rPr>
          <w:bCs/>
        </w:rPr>
      </w:pPr>
      <w:r w:rsidRPr="00015D5A">
        <w:rPr>
          <w:rFonts w:eastAsia="Calibri"/>
        </w:rPr>
        <w:t>Федеральный закон от 28.12.2013 № 424-ФЗ «</w:t>
      </w:r>
      <w:r w:rsidRPr="00015D5A">
        <w:rPr>
          <w:bCs/>
        </w:rPr>
        <w:t>О накопительной пенсии»;</w:t>
      </w:r>
    </w:p>
    <w:p w:rsidR="004111E5" w:rsidRPr="00015D5A" w:rsidRDefault="004111E5" w:rsidP="004111E5">
      <w:pPr>
        <w:pStyle w:val="af0"/>
        <w:numPr>
          <w:ilvl w:val="0"/>
          <w:numId w:val="6"/>
        </w:numPr>
        <w:spacing w:line="360" w:lineRule="auto"/>
        <w:jc w:val="both"/>
      </w:pPr>
      <w:r w:rsidRPr="00015D5A">
        <w:rPr>
          <w:rFonts w:eastAsia="Calibri"/>
        </w:rPr>
        <w:t>Федеральный закон от 28.12.2013 № 422-ФЗ</w:t>
      </w:r>
      <w:r w:rsidRPr="00015D5A">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r w:rsidRPr="00015D5A">
        <w:rPr>
          <w:lang w:val="en-US"/>
        </w:rPr>
        <w:t> </w:t>
      </w:r>
      <w:r w:rsidRPr="00015D5A">
        <w:t>осуществлении выплат за счет средств пенсионных накоплений»;</w:t>
      </w:r>
    </w:p>
    <w:p w:rsidR="004111E5" w:rsidRPr="00015D5A" w:rsidRDefault="004111E5" w:rsidP="004111E5">
      <w:pPr>
        <w:pStyle w:val="af0"/>
        <w:numPr>
          <w:ilvl w:val="0"/>
          <w:numId w:val="6"/>
        </w:numPr>
        <w:spacing w:line="360" w:lineRule="auto"/>
        <w:jc w:val="both"/>
        <w:rPr>
          <w:rFonts w:eastAsia="Calibri"/>
        </w:rPr>
      </w:pPr>
      <w:r w:rsidRPr="00015D5A">
        <w:rPr>
          <w:rFonts w:eastAsia="Calibri"/>
        </w:rPr>
        <w:t>Федеральный закон от 28.12.2013 № 410-ФЗ</w:t>
      </w:r>
      <w:r w:rsidRPr="00015D5A">
        <w:t xml:space="preserve"> «</w:t>
      </w:r>
      <w:r w:rsidRPr="00015D5A">
        <w:rPr>
          <w:rFonts w:eastAsia="Calibri"/>
        </w:rPr>
        <w:t>О внесении изменений в Федеральный закон</w:t>
      </w:r>
      <w:r w:rsidRPr="00015D5A">
        <w:t xml:space="preserve"> </w:t>
      </w:r>
      <w:r w:rsidRPr="00015D5A">
        <w:rPr>
          <w:rFonts w:eastAsia="Calibri"/>
        </w:rPr>
        <w:t>«О негосударственных пенсионных фондах»</w:t>
      </w:r>
      <w:r w:rsidRPr="00015D5A">
        <w:t xml:space="preserve"> </w:t>
      </w:r>
      <w:r w:rsidRPr="00015D5A">
        <w:rPr>
          <w:rFonts w:eastAsia="Calibri"/>
        </w:rPr>
        <w:t>и отдельные законодательные акты Российской Федерации»;</w:t>
      </w:r>
    </w:p>
    <w:p w:rsidR="004111E5" w:rsidRPr="00015D5A" w:rsidRDefault="004111E5" w:rsidP="004111E5">
      <w:pPr>
        <w:pStyle w:val="af0"/>
        <w:numPr>
          <w:ilvl w:val="0"/>
          <w:numId w:val="6"/>
        </w:numPr>
        <w:spacing w:line="360" w:lineRule="auto"/>
        <w:jc w:val="both"/>
        <w:rPr>
          <w:bCs/>
        </w:rPr>
      </w:pPr>
      <w:r w:rsidRPr="00015D5A">
        <w:rPr>
          <w:rFonts w:eastAsia="Calibri"/>
        </w:rPr>
        <w:t>Федеральный закон</w:t>
      </w:r>
      <w:r w:rsidRPr="00015D5A">
        <w:t xml:space="preserve"> </w:t>
      </w:r>
      <w:r w:rsidRPr="00015D5A">
        <w:rPr>
          <w:rFonts w:eastAsia="Calibri"/>
        </w:rPr>
        <w:t xml:space="preserve">от 28.12.2013 № 426-ФЗ </w:t>
      </w:r>
      <w:r w:rsidRPr="00015D5A">
        <w:t>«</w:t>
      </w:r>
      <w:r w:rsidRPr="00015D5A">
        <w:rPr>
          <w:bCs/>
        </w:rPr>
        <w:t>О специальной оценке условий труда»;</w:t>
      </w:r>
    </w:p>
    <w:p w:rsidR="004111E5" w:rsidRPr="00015D5A" w:rsidRDefault="004111E5" w:rsidP="004111E5">
      <w:pPr>
        <w:pStyle w:val="af0"/>
        <w:numPr>
          <w:ilvl w:val="0"/>
          <w:numId w:val="6"/>
        </w:numPr>
        <w:spacing w:line="360" w:lineRule="auto"/>
        <w:jc w:val="both"/>
        <w:rPr>
          <w:bCs/>
        </w:rPr>
      </w:pPr>
      <w:r w:rsidRPr="00015D5A">
        <w:rPr>
          <w:rFonts w:eastAsia="Calibri"/>
        </w:rPr>
        <w:t>Федеральный закон</w:t>
      </w:r>
      <w:r w:rsidRPr="00015D5A">
        <w:t xml:space="preserve"> </w:t>
      </w:r>
      <w:r w:rsidRPr="00015D5A">
        <w:rPr>
          <w:rFonts w:eastAsia="Calibri"/>
        </w:rPr>
        <w:t xml:space="preserve">от 28.12.2013 № 421-ФЗ </w:t>
      </w:r>
      <w:r w:rsidRPr="00015D5A">
        <w:t>«</w:t>
      </w:r>
      <w:r w:rsidRPr="00015D5A">
        <w:rPr>
          <w:bCs/>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lastRenderedPageBreak/>
        <w:t>В соответствии с</w:t>
      </w:r>
      <w:r w:rsidRPr="00015D5A">
        <w:rPr>
          <w:rFonts w:ascii="Times New Roman" w:eastAsia="Calibri" w:hAnsi="Times New Roman" w:cs="Times New Roman"/>
          <w:sz w:val="24"/>
          <w:szCs w:val="24"/>
        </w:rPr>
        <w:t xml:space="preserve"> Федеральным законом от 28.12.2013 № 400-ФЗ «</w:t>
      </w:r>
      <w:r w:rsidRPr="00015D5A">
        <w:rPr>
          <w:rFonts w:ascii="Times New Roman" w:hAnsi="Times New Roman" w:cs="Times New Roman"/>
          <w:sz w:val="24"/>
          <w:szCs w:val="24"/>
        </w:rPr>
        <w:t>О страховых пенсиях» с</w:t>
      </w:r>
      <w:r w:rsidRPr="00015D5A">
        <w:rPr>
          <w:rFonts w:ascii="Times New Roman" w:hAnsi="Times New Roman" w:cs="Times New Roman"/>
          <w:color w:val="000000"/>
          <w:sz w:val="24"/>
          <w:szCs w:val="24"/>
          <w:shd w:val="clear" w:color="auto" w:fill="FFFFFF"/>
        </w:rPr>
        <w:t xml:space="preserve"> 1 января 2015 г. вводится новый порядок исчисления пенсий - так называемая новая пенсионная формула. Главная ее цель - обеспечить финансовую сбалансированность пенсионной системы и повысить солидарную ответственность государства, работодателей и самих работников за уровень пенсионного обеспечения.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В соответствии с новой пенсионной формулой возраст выхода на пенсию остается прежним: для мужчин - 60 лет; для женщин - 55 лет, минимальный страховой стаж (стаж уплаты страховых взносов) для приобретения права на пенсию будет ежегодно  увеличиваться, начиная с 2015 г, на 1 год и возрастет с 5 до 15 лет. В страховой стаж будут засчитывать те же "</w:t>
      </w:r>
      <w:proofErr w:type="spellStart"/>
      <w:r w:rsidRPr="00015D5A">
        <w:rPr>
          <w:rFonts w:ascii="Times New Roman" w:hAnsi="Times New Roman" w:cs="Times New Roman"/>
          <w:color w:val="000000"/>
          <w:sz w:val="24"/>
          <w:szCs w:val="24"/>
          <w:shd w:val="clear" w:color="auto" w:fill="FFFFFF"/>
        </w:rPr>
        <w:t>нестраховые</w:t>
      </w:r>
      <w:proofErr w:type="spellEnd"/>
      <w:r w:rsidRPr="00015D5A">
        <w:rPr>
          <w:rFonts w:ascii="Times New Roman" w:hAnsi="Times New Roman" w:cs="Times New Roman"/>
          <w:color w:val="000000"/>
          <w:sz w:val="24"/>
          <w:szCs w:val="24"/>
          <w:shd w:val="clear" w:color="auto" w:fill="FFFFFF"/>
        </w:rPr>
        <w:t xml:space="preserve"> периоды", что и ранее, но учитываемый в стаже период ухода за детьми до достижения ими 1,5 лет в общей сложности составит 6 лет (то есть за четырех детей, а не за двух, как было раньше).</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Размер пенсии будет зависеть от суммы набранных за страховой стаж индивидуальных пенсионных коэффициентов (ИПК) и стоимости единицы пенсионного коэффициента в году получения пенсии. ИПК за соответствующий год страхового стажа рассчитывается исходя из соотношения фактически начисленных за год за работника страховых взносов и так называемого нормативного размера, исчисляемого по максимальной годовой базе, облагаемой взносами. Стоимость единицы пенсионного коэффициента станет ежегодно определяться федеральным законом о бюджете ПФР.</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Пенсионеров, получающих трудовые пенсии, переведут на новый порядок расчета пенсии с 1 января 2015 года. При этом размер страховой пенсии, определенной по новым правилам, не может быть для них меньше получаемой ранее. Закон вступает в силу с 1 января 2015 г., за исключением отдельных положений, для которых предусмотрен иной срок введения в действие.</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Накопительная пенсия становится самостоятельным видом пенсии (а не одной из составляющих трудовой пенсии). Это определено Федеральным </w:t>
      </w:r>
      <w:r w:rsidRPr="00015D5A">
        <w:rPr>
          <w:rFonts w:ascii="Times New Roman" w:eastAsia="Calibri" w:hAnsi="Times New Roman" w:cs="Times New Roman"/>
          <w:sz w:val="24"/>
          <w:szCs w:val="24"/>
        </w:rPr>
        <w:t>законом от 28.12.2013 № 424-ФЗ «</w:t>
      </w:r>
      <w:r w:rsidRPr="00015D5A">
        <w:rPr>
          <w:rFonts w:ascii="Times New Roman" w:hAnsi="Times New Roman" w:cs="Times New Roman"/>
          <w:bCs/>
          <w:sz w:val="24"/>
          <w:szCs w:val="24"/>
        </w:rPr>
        <w:t>О накопительной пенсии».</w:t>
      </w:r>
      <w:r w:rsidRPr="00015D5A">
        <w:rPr>
          <w:rFonts w:ascii="Times New Roman" w:hAnsi="Times New Roman" w:cs="Times New Roman"/>
          <w:color w:val="000000"/>
          <w:sz w:val="24"/>
          <w:szCs w:val="24"/>
          <w:shd w:val="clear" w:color="auto" w:fill="FFFFFF"/>
        </w:rPr>
        <w:t xml:space="preserve">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Порядок установления и выплаты накопительной пенсии в целом соответствует прежним условиям. Накопительная пенсия устанавливается лицам, имеющим право на страховую пенсию по старости, при наличии у них пенсионных накоплений в ПФР или НПФ. Размер пенсии определяется исходя из суммы накоплений и величины расчетного </w:t>
      </w:r>
      <w:r w:rsidRPr="00015D5A">
        <w:rPr>
          <w:rFonts w:ascii="Times New Roman" w:hAnsi="Times New Roman" w:cs="Times New Roman"/>
          <w:color w:val="000000"/>
          <w:sz w:val="24"/>
          <w:szCs w:val="24"/>
          <w:shd w:val="clear" w:color="auto" w:fill="FFFFFF"/>
        </w:rPr>
        <w:lastRenderedPageBreak/>
        <w:t xml:space="preserve">ожидаемого периода выплаты накопительной пенсии, который до 2016 г. составляет 19 лет, а после этой даты он будет ежегодно определяться федеральным законом на основании статистических данных о продолжительности жизни получателей накопительной пенсии.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Федеральный закон вступает в силу с 1 января 2015 г. При этом получатели НЧТП будут автоматически переведены на получение накопительной пенсии без подачи каких-либо заявлений.</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eastAsia="Calibri" w:hAnsi="Times New Roman" w:cs="Times New Roman"/>
          <w:sz w:val="24"/>
          <w:szCs w:val="24"/>
        </w:rPr>
        <w:t>Федеральным законом от 28.12.2013 № 422-ФЗ</w:t>
      </w:r>
      <w:r w:rsidRPr="00015D5A">
        <w:rPr>
          <w:rFonts w:ascii="Times New Roman" w:hAnsi="Times New Roman" w:cs="Times New Roman"/>
          <w:sz w:val="24"/>
          <w:szCs w:val="24"/>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r w:rsidRPr="00015D5A">
        <w:rPr>
          <w:rFonts w:ascii="Times New Roman" w:hAnsi="Times New Roman" w:cs="Times New Roman"/>
          <w:sz w:val="24"/>
          <w:szCs w:val="24"/>
          <w:lang w:val="en-US"/>
        </w:rPr>
        <w:t> </w:t>
      </w:r>
      <w:r w:rsidRPr="00015D5A">
        <w:rPr>
          <w:rFonts w:ascii="Times New Roman" w:hAnsi="Times New Roman" w:cs="Times New Roman"/>
          <w:sz w:val="24"/>
          <w:szCs w:val="24"/>
        </w:rPr>
        <w:t>осуществлении выплат за счет средств пенсионных накоплений» вводится с</w:t>
      </w:r>
      <w:r w:rsidRPr="00015D5A">
        <w:rPr>
          <w:rFonts w:ascii="Times New Roman" w:hAnsi="Times New Roman" w:cs="Times New Roman"/>
          <w:color w:val="000000"/>
          <w:sz w:val="24"/>
          <w:szCs w:val="24"/>
          <w:shd w:val="clear" w:color="auto" w:fill="FFFFFF"/>
        </w:rPr>
        <w:t xml:space="preserve">истема гарантирования пенсионных накоплений.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Она  должна обеспечить стабильное получение накопительной пенсии. Участие в ней обязательно для всех страховщиков, занимающихся обязательным пенсионным страхованием (Пенсионного фонда России и негосударственных пенсионных фондов).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При этом НПФ должны соответствовать определенным требованиям,- в первую очередь обладать статусом акционерного общества. В систему смогут войти лишь те фонды, чья деятельность будет признана Центральным банком России удовлетворительной. Фонды, отказавшиеся от участия в системе, должны прекратить договоры об ОПС и передать пенсионные накопления в ПФР.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 xml:space="preserve">Законом предусмотрена двухуровневая система гарантирования накоплений, включающая резервы по ОПС, формируемые каждым страховщиком, и фонд гарантирования пенсионных накоплений. Формирование фонда поручено Агентству по страхованию вкладов, он создается за счет взносов всех страховщиков по ОПС (в том числе и ПФР). Из него будут производиться выплаты гражданам при наступлении гарантийного случая.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proofErr w:type="gramStart"/>
      <w:r w:rsidRPr="00015D5A">
        <w:rPr>
          <w:rFonts w:ascii="Times New Roman" w:hAnsi="Times New Roman" w:cs="Times New Roman"/>
          <w:color w:val="000000"/>
          <w:sz w:val="24"/>
          <w:szCs w:val="24"/>
          <w:shd w:val="clear" w:color="auto" w:fill="FFFFFF"/>
        </w:rPr>
        <w:t xml:space="preserve">Гарантийным случаем признаются: банкротство страховщика, аннулирование у него лицензии или недостаточность пенсионных накоплений (когда их сумма на счетах ниже номинального размера уплаченных страховых взносов. </w:t>
      </w:r>
      <w:proofErr w:type="gramEnd"/>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lastRenderedPageBreak/>
        <w:t xml:space="preserve">Система гарантирует сохранность пенсионных накоплений в размере уплаченных взносов на накопительную часть пенсии (включая дополнительные, взносы работодателя, суммы по программе </w:t>
      </w:r>
      <w:proofErr w:type="spellStart"/>
      <w:r w:rsidRPr="00015D5A">
        <w:rPr>
          <w:rFonts w:ascii="Times New Roman" w:hAnsi="Times New Roman" w:cs="Times New Roman"/>
          <w:color w:val="000000"/>
          <w:sz w:val="24"/>
          <w:szCs w:val="24"/>
          <w:shd w:val="clear" w:color="auto" w:fill="FFFFFF"/>
        </w:rPr>
        <w:t>софинансирования</w:t>
      </w:r>
      <w:proofErr w:type="spellEnd"/>
      <w:r w:rsidRPr="00015D5A">
        <w:rPr>
          <w:rFonts w:ascii="Times New Roman" w:hAnsi="Times New Roman" w:cs="Times New Roman"/>
          <w:color w:val="000000"/>
          <w:sz w:val="24"/>
          <w:szCs w:val="24"/>
          <w:shd w:val="clear" w:color="auto" w:fill="FFFFFF"/>
        </w:rPr>
        <w:t xml:space="preserve"> накопительной пенсии, средства материнского капитала). Гарантируется и капитализированный доход от инвестирования пенсионных накоплений, но при условии смены НПФ не чаще 1 раза в 5 лет. </w:t>
      </w:r>
    </w:p>
    <w:p w:rsidR="004111E5" w:rsidRPr="00015D5A" w:rsidRDefault="004111E5" w:rsidP="004111E5">
      <w:pPr>
        <w:spacing w:line="360" w:lineRule="auto"/>
        <w:ind w:firstLine="709"/>
        <w:jc w:val="both"/>
        <w:rPr>
          <w:rFonts w:ascii="Times New Roman" w:hAnsi="Times New Roman" w:cs="Times New Roman"/>
          <w:color w:val="000000"/>
          <w:sz w:val="24"/>
          <w:szCs w:val="24"/>
          <w:shd w:val="clear" w:color="auto" w:fill="FFFFFF"/>
        </w:rPr>
      </w:pPr>
      <w:r w:rsidRPr="00015D5A">
        <w:rPr>
          <w:rFonts w:ascii="Times New Roman" w:hAnsi="Times New Roman" w:cs="Times New Roman"/>
          <w:color w:val="000000"/>
          <w:sz w:val="24"/>
          <w:szCs w:val="24"/>
          <w:shd w:val="clear" w:color="auto" w:fill="FFFFFF"/>
        </w:rPr>
        <w:t>Закон вступает в силу с 1 января 2014 г., за исключением отдельных положений, для которых предусмотрены иные сроки введения в действие. Основные положения о гарантировании пенсионных выплат начнут применяться с 1 января 2015 г.</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С целью сбалансирования бюджета Пенсионного фонда России страховые взносы на накопительную часть трудовой пенсии</w:t>
      </w:r>
      <w:r>
        <w:rPr>
          <w:color w:val="000000"/>
        </w:rPr>
        <w:t xml:space="preserve"> (НЧТП)</w:t>
      </w:r>
      <w:r w:rsidRPr="00015D5A">
        <w:rPr>
          <w:color w:val="000000"/>
        </w:rPr>
        <w:t>, в 2014 году в полном объеме направляются на финансирование страховой части пенсии и не поступят на пенсионные счета НЧТП.</w:t>
      </w:r>
      <w:r>
        <w:rPr>
          <w:color w:val="000000"/>
        </w:rPr>
        <w:t xml:space="preserve"> </w:t>
      </w:r>
    </w:p>
    <w:p w:rsidR="004111E5" w:rsidRPr="00015D5A" w:rsidRDefault="004111E5" w:rsidP="004111E5">
      <w:pPr>
        <w:pStyle w:val="af1"/>
        <w:shd w:val="clear" w:color="auto" w:fill="FFFFFF"/>
        <w:spacing w:before="0" w:beforeAutospacing="0" w:after="0" w:afterAutospacing="0" w:line="360" w:lineRule="auto"/>
        <w:ind w:firstLine="709"/>
        <w:jc w:val="both"/>
        <w:rPr>
          <w:color w:val="000000"/>
        </w:rPr>
      </w:pPr>
      <w:r w:rsidRPr="00015D5A">
        <w:rPr>
          <w:color w:val="000000"/>
        </w:rPr>
        <w:t xml:space="preserve">В связи с созданием системы гарантирования пенсионных накоплений и предстоящим акционированием НПФ пенсионные накопления застрахованных лиц, выбравших НПФ, замораживаются в ПФР до вступления негосударственного пенсионного фонда в систему гарантирования пенсионных накоплений и инвестируются ВЭБ-ом по правилам расширенного портфеля. Указанные суммы накоплений будут учтены на индивидуальном лицевом счете застрахованного лица. </w:t>
      </w:r>
    </w:p>
    <w:p w:rsidR="004111E5" w:rsidRPr="00015D5A" w:rsidRDefault="004111E5" w:rsidP="004111E5">
      <w:pPr>
        <w:spacing w:line="360" w:lineRule="auto"/>
        <w:ind w:firstLine="709"/>
        <w:jc w:val="both"/>
        <w:rPr>
          <w:rFonts w:ascii="Times New Roman" w:hAnsi="Times New Roman" w:cs="Times New Roman"/>
          <w:sz w:val="24"/>
          <w:szCs w:val="24"/>
        </w:rPr>
      </w:pP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 Система негосударственных пенсионных фондов на протяжении  всего периода существования доказывает свою жизнеспособность, успешно отвечает на вызовы времени и все в большей степени удовлетворяет потребности десятков миллионов граждан России в улучшении своего материального положения, формируя при этом значительные по объему инвестиционные возможности для целей экономического роста страны. </w:t>
      </w:r>
    </w:p>
    <w:p w:rsidR="004111E5" w:rsidRPr="00015D5A" w:rsidRDefault="004111E5" w:rsidP="004111E5">
      <w:pPr>
        <w:spacing w:line="360" w:lineRule="auto"/>
        <w:ind w:firstLine="709"/>
        <w:jc w:val="both"/>
        <w:rPr>
          <w:rFonts w:ascii="Times New Roman" w:hAnsi="Times New Roman" w:cs="Times New Roman"/>
          <w:sz w:val="24"/>
          <w:szCs w:val="24"/>
        </w:rPr>
      </w:pPr>
      <w:r w:rsidRPr="00015D5A">
        <w:rPr>
          <w:rFonts w:ascii="Times New Roman" w:hAnsi="Times New Roman" w:cs="Times New Roman"/>
          <w:sz w:val="24"/>
          <w:szCs w:val="24"/>
        </w:rPr>
        <w:t xml:space="preserve">Новые задачи, стоящие перед негосударственными пенсионными фондами, могут быть решены только при условии совершенствования и укрепления государственного регулирования и контроля, развития саморегулирования, введения обязательности участия фондов – страховщиков по ОПС в саморегулируемых организациях, имеющих развитую систему стандартизации. </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Pr="004111E5" w:rsidRDefault="004111E5" w:rsidP="00E87860">
      <w:pPr>
        <w:spacing w:after="0" w:line="360" w:lineRule="auto"/>
        <w:ind w:firstLine="709"/>
        <w:jc w:val="center"/>
        <w:rPr>
          <w:rFonts w:ascii="Times New Roman" w:hAnsi="Times New Roman" w:cs="Times New Roman"/>
          <w:b/>
          <w:bCs/>
          <w:sz w:val="28"/>
          <w:szCs w:val="28"/>
        </w:rPr>
      </w:pPr>
      <w:r w:rsidRPr="004111E5">
        <w:rPr>
          <w:rFonts w:ascii="Times New Roman" w:hAnsi="Times New Roman" w:cs="Times New Roman"/>
          <w:b/>
          <w:bCs/>
          <w:sz w:val="28"/>
          <w:szCs w:val="28"/>
        </w:rPr>
        <w:lastRenderedPageBreak/>
        <w:t>Риски в деятельности негосударственных пенсионных фондов</w:t>
      </w:r>
    </w:p>
    <w:p w:rsidR="00E87860" w:rsidRDefault="00E87860" w:rsidP="00E87860">
      <w:pPr>
        <w:spacing w:after="0" w:line="360" w:lineRule="auto"/>
        <w:ind w:firstLine="709"/>
        <w:jc w:val="both"/>
        <w:rPr>
          <w:rFonts w:ascii="Times New Roman" w:hAnsi="Times New Roman" w:cs="Times New Roman"/>
          <w:b/>
          <w:bCs/>
          <w:sz w:val="24"/>
          <w:szCs w:val="24"/>
        </w:rPr>
      </w:pPr>
    </w:p>
    <w:p w:rsidR="00E87860" w:rsidRDefault="00E87860" w:rsidP="00E87860">
      <w:pPr>
        <w:spacing w:after="0" w:line="360" w:lineRule="auto"/>
        <w:ind w:firstLine="709"/>
        <w:jc w:val="both"/>
        <w:rPr>
          <w:rFonts w:ascii="Times New Roman" w:hAnsi="Times New Roman" w:cs="Times New Roman"/>
          <w:b/>
          <w:bCs/>
          <w:sz w:val="24"/>
          <w:szCs w:val="24"/>
        </w:rPr>
      </w:pPr>
    </w:p>
    <w:p w:rsidR="00E87860" w:rsidRPr="002863F1" w:rsidRDefault="00E87860" w:rsidP="00E87860">
      <w:pPr>
        <w:spacing w:after="0" w:line="360" w:lineRule="auto"/>
        <w:ind w:firstLine="709"/>
        <w:jc w:val="right"/>
        <w:rPr>
          <w:rFonts w:ascii="Times New Roman" w:hAnsi="Times New Roman" w:cs="Times New Roman"/>
          <w:b/>
          <w:bCs/>
          <w:i/>
          <w:sz w:val="24"/>
          <w:szCs w:val="24"/>
        </w:rPr>
      </w:pPr>
      <w:r w:rsidRPr="002863F1">
        <w:rPr>
          <w:rFonts w:ascii="Times New Roman" w:hAnsi="Times New Roman" w:cs="Times New Roman"/>
          <w:b/>
          <w:bCs/>
          <w:i/>
          <w:sz w:val="24"/>
          <w:szCs w:val="24"/>
        </w:rPr>
        <w:t xml:space="preserve">Сергей Валентинович </w:t>
      </w:r>
      <w:proofErr w:type="spellStart"/>
      <w:r w:rsidRPr="002863F1">
        <w:rPr>
          <w:rFonts w:ascii="Times New Roman" w:hAnsi="Times New Roman" w:cs="Times New Roman"/>
          <w:b/>
          <w:bCs/>
          <w:i/>
          <w:sz w:val="24"/>
          <w:szCs w:val="24"/>
        </w:rPr>
        <w:t>Бровчак</w:t>
      </w:r>
      <w:proofErr w:type="spellEnd"/>
    </w:p>
    <w:p w:rsidR="00E87860" w:rsidRDefault="00E87860" w:rsidP="00E87860">
      <w:pPr>
        <w:spacing w:after="0" w:line="360" w:lineRule="auto"/>
        <w:ind w:firstLine="709"/>
        <w:jc w:val="right"/>
        <w:rPr>
          <w:rFonts w:ascii="Times New Roman" w:hAnsi="Times New Roman" w:cs="Times New Roman"/>
          <w:i/>
        </w:rPr>
      </w:pPr>
      <w:r w:rsidRPr="00C84107">
        <w:rPr>
          <w:rFonts w:ascii="Times New Roman" w:hAnsi="Times New Roman" w:cs="Times New Roman"/>
          <w:bCs/>
          <w:i/>
          <w:sz w:val="20"/>
          <w:szCs w:val="20"/>
        </w:rPr>
        <w:t xml:space="preserve">Доцент </w:t>
      </w:r>
      <w:r w:rsidRPr="00C84107">
        <w:rPr>
          <w:rFonts w:ascii="Times New Roman" w:hAnsi="Times New Roman" w:cs="Times New Roman"/>
          <w:i/>
        </w:rPr>
        <w:t>НИУ Высшая школа экономики</w:t>
      </w:r>
    </w:p>
    <w:p w:rsidR="00E87860" w:rsidRPr="00C84107" w:rsidRDefault="00E87860" w:rsidP="00E87860">
      <w:pPr>
        <w:spacing w:after="0" w:line="360" w:lineRule="auto"/>
        <w:ind w:firstLine="709"/>
        <w:jc w:val="both"/>
        <w:rPr>
          <w:rFonts w:ascii="Times New Roman" w:hAnsi="Times New Roman" w:cs="Times New Roman"/>
          <w:bCs/>
          <w:i/>
          <w:sz w:val="20"/>
          <w:szCs w:val="20"/>
        </w:rPr>
      </w:pPr>
    </w:p>
    <w:p w:rsidR="00E87860" w:rsidRPr="002863F1" w:rsidRDefault="00E87860" w:rsidP="00E87860">
      <w:pPr>
        <w:spacing w:after="0" w:line="360" w:lineRule="auto"/>
        <w:ind w:firstLine="709"/>
        <w:jc w:val="both"/>
        <w:rPr>
          <w:rFonts w:ascii="Times New Roman" w:hAnsi="Times New Roman" w:cs="Times New Roman"/>
          <w:bCs/>
          <w:i/>
          <w:sz w:val="20"/>
          <w:szCs w:val="20"/>
        </w:rPr>
      </w:pPr>
    </w:p>
    <w:p w:rsidR="00E87860" w:rsidRPr="005C6FCF" w:rsidRDefault="00E87860" w:rsidP="00E87860">
      <w:pPr>
        <w:spacing w:after="0" w:line="360" w:lineRule="auto"/>
        <w:ind w:firstLine="709"/>
        <w:jc w:val="both"/>
        <w:rPr>
          <w:rFonts w:ascii="Times New Roman" w:hAnsi="Times New Roman" w:cs="Times New Roman"/>
          <w:bCs/>
          <w:iCs/>
          <w:sz w:val="24"/>
          <w:szCs w:val="24"/>
        </w:rPr>
      </w:pPr>
      <w:r w:rsidRPr="005C6FCF">
        <w:rPr>
          <w:rFonts w:ascii="Times New Roman" w:hAnsi="Times New Roman" w:cs="Times New Roman"/>
          <w:bCs/>
          <w:iCs/>
          <w:sz w:val="24"/>
          <w:szCs w:val="24"/>
        </w:rPr>
        <w:t>Продолжающаяся тенденция старения населения, недостаточная рождаемость, невысокий размер государственного пенсионного обеспечения остро став</w:t>
      </w:r>
      <w:r>
        <w:rPr>
          <w:rFonts w:ascii="Times New Roman" w:hAnsi="Times New Roman" w:cs="Times New Roman"/>
          <w:bCs/>
          <w:iCs/>
          <w:sz w:val="24"/>
          <w:szCs w:val="24"/>
        </w:rPr>
        <w:t>я</w:t>
      </w:r>
      <w:r w:rsidRPr="005C6FCF">
        <w:rPr>
          <w:rFonts w:ascii="Times New Roman" w:hAnsi="Times New Roman" w:cs="Times New Roman"/>
          <w:bCs/>
          <w:iCs/>
          <w:sz w:val="24"/>
          <w:szCs w:val="24"/>
        </w:rPr>
        <w:t xml:space="preserve">т вопрос о дополнительных возможностях формирования дохода граждан после </w:t>
      </w:r>
      <w:r>
        <w:rPr>
          <w:rFonts w:ascii="Times New Roman" w:hAnsi="Times New Roman" w:cs="Times New Roman"/>
          <w:bCs/>
          <w:iCs/>
          <w:sz w:val="24"/>
          <w:szCs w:val="24"/>
        </w:rPr>
        <w:t>выхода на пенсию</w:t>
      </w:r>
      <w:r w:rsidRPr="005C6FCF">
        <w:rPr>
          <w:rFonts w:ascii="Times New Roman" w:hAnsi="Times New Roman" w:cs="Times New Roman"/>
          <w:bCs/>
          <w:iCs/>
          <w:sz w:val="24"/>
          <w:szCs w:val="24"/>
        </w:rPr>
        <w:t>. В этом вопросе высока роль негосударственных пенсионных фондов</w:t>
      </w:r>
      <w:r>
        <w:rPr>
          <w:rFonts w:ascii="Times New Roman" w:hAnsi="Times New Roman" w:cs="Times New Roman"/>
          <w:bCs/>
          <w:iCs/>
          <w:sz w:val="24"/>
          <w:szCs w:val="24"/>
        </w:rPr>
        <w:t xml:space="preserve"> (НПФ)</w:t>
      </w:r>
      <w:r w:rsidRPr="005C6FCF">
        <w:rPr>
          <w:rFonts w:ascii="Times New Roman" w:hAnsi="Times New Roman" w:cs="Times New Roman"/>
          <w:bCs/>
          <w:iCs/>
          <w:sz w:val="24"/>
          <w:szCs w:val="24"/>
        </w:rPr>
        <w:t>. Как субъекты долгосрочных инвестиций, негосударственные пенсионные фонды должны со всей ответственностью учитывать влияние различных рисков на эффективность своей деятельности.</w:t>
      </w:r>
    </w:p>
    <w:p w:rsidR="00E87860" w:rsidRPr="005C6FCF" w:rsidRDefault="00E87860" w:rsidP="00E87860">
      <w:pPr>
        <w:spacing w:after="0" w:line="360" w:lineRule="auto"/>
        <w:ind w:firstLine="709"/>
        <w:jc w:val="both"/>
        <w:rPr>
          <w:rFonts w:ascii="Times New Roman" w:hAnsi="Times New Roman" w:cs="Times New Roman"/>
          <w:b/>
          <w:bCs/>
          <w:sz w:val="24"/>
          <w:szCs w:val="24"/>
        </w:rPr>
      </w:pPr>
      <w:r w:rsidRPr="005C6FCF">
        <w:rPr>
          <w:rFonts w:ascii="Times New Roman" w:hAnsi="Times New Roman" w:cs="Times New Roman"/>
          <w:bCs/>
          <w:iCs/>
          <w:sz w:val="24"/>
          <w:szCs w:val="24"/>
        </w:rPr>
        <w:t>Что же такое риск? Толковый словарь Даля дает следующее определение.</w:t>
      </w:r>
      <w:r w:rsidRPr="005C6FCF">
        <w:rPr>
          <w:rFonts w:ascii="Times New Roman" w:hAnsi="Times New Roman" w:cs="Times New Roman"/>
          <w:b/>
          <w:bCs/>
          <w:sz w:val="24"/>
          <w:szCs w:val="24"/>
        </w:rPr>
        <w:t xml:space="preserve"> </w:t>
      </w:r>
    </w:p>
    <w:p w:rsidR="00E87860" w:rsidRPr="00D14821" w:rsidRDefault="00E87860" w:rsidP="00E87860">
      <w:pPr>
        <w:spacing w:after="0" w:line="360" w:lineRule="auto"/>
        <w:ind w:firstLine="709"/>
        <w:jc w:val="both"/>
        <w:rPr>
          <w:rFonts w:ascii="Times New Roman" w:hAnsi="Times New Roman" w:cs="Times New Roman"/>
          <w:bCs/>
          <w:i/>
          <w:iCs/>
          <w:sz w:val="24"/>
          <w:szCs w:val="24"/>
        </w:rPr>
      </w:pPr>
      <w:r w:rsidRPr="00D14821">
        <w:rPr>
          <w:rFonts w:ascii="Times New Roman" w:hAnsi="Times New Roman" w:cs="Times New Roman"/>
          <w:b/>
          <w:bCs/>
          <w:i/>
          <w:iCs/>
          <w:sz w:val="24"/>
          <w:szCs w:val="24"/>
        </w:rPr>
        <w:t xml:space="preserve">РИСКОВАТЬ, </w:t>
      </w:r>
      <w:r w:rsidRPr="00D14821">
        <w:rPr>
          <w:rFonts w:ascii="Times New Roman" w:hAnsi="Times New Roman" w:cs="Times New Roman"/>
          <w:bCs/>
          <w:i/>
          <w:iCs/>
          <w:sz w:val="24"/>
          <w:szCs w:val="24"/>
        </w:rPr>
        <w:t xml:space="preserve">франц. что или чем, подвергаться известной опасности, превратности, неудаче.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iCs/>
          <w:sz w:val="24"/>
          <w:szCs w:val="24"/>
        </w:rPr>
        <w:t>Риски существуют при любой деятельности. От них, к сожалению, никуда не деться. Но ими можно научиться управлять. Тем более, к</w:t>
      </w:r>
      <w:r w:rsidRPr="004A52C7">
        <w:rPr>
          <w:rFonts w:ascii="Times New Roman" w:hAnsi="Times New Roman" w:cs="Times New Roman"/>
          <w:bCs/>
          <w:sz w:val="24"/>
          <w:szCs w:val="24"/>
        </w:rPr>
        <w:t xml:space="preserve">акую-то долю </w:t>
      </w:r>
      <w:r>
        <w:rPr>
          <w:rFonts w:ascii="Times New Roman" w:hAnsi="Times New Roman" w:cs="Times New Roman"/>
          <w:bCs/>
          <w:sz w:val="24"/>
          <w:szCs w:val="24"/>
        </w:rPr>
        <w:t xml:space="preserve">рисков </w:t>
      </w:r>
      <w:r w:rsidRPr="004A52C7">
        <w:rPr>
          <w:rFonts w:ascii="Times New Roman" w:hAnsi="Times New Roman" w:cs="Times New Roman"/>
          <w:bCs/>
          <w:sz w:val="24"/>
          <w:szCs w:val="24"/>
        </w:rPr>
        <w:t xml:space="preserve">Вы можете принять, а какую-то нет. Допустимую долю рисков всегда можно определить. Необходимо, в частности, понимать, что чем больше доходность, которую Вы хотите </w:t>
      </w:r>
      <w:r>
        <w:rPr>
          <w:rFonts w:ascii="Times New Roman" w:hAnsi="Times New Roman" w:cs="Times New Roman"/>
          <w:bCs/>
          <w:sz w:val="24"/>
          <w:szCs w:val="24"/>
        </w:rPr>
        <w:t>получить</w:t>
      </w:r>
      <w:r w:rsidRPr="004A52C7">
        <w:rPr>
          <w:rFonts w:ascii="Times New Roman" w:hAnsi="Times New Roman" w:cs="Times New Roman"/>
          <w:bCs/>
          <w:sz w:val="24"/>
          <w:szCs w:val="24"/>
        </w:rPr>
        <w:t>, тем больше риски, которые Вам придется принять.</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 увеличением активов увеличивается и размер рисков, которые несут в процессе своей деятельности негосударственные пенсионные фонды. В связи с этим актуальной становится и профессиональная работа с рисками, которой и занимаются </w:t>
      </w:r>
      <w:proofErr w:type="spellStart"/>
      <w:r>
        <w:rPr>
          <w:rFonts w:ascii="Times New Roman" w:hAnsi="Times New Roman" w:cs="Times New Roman"/>
          <w:bCs/>
          <w:sz w:val="24"/>
          <w:szCs w:val="24"/>
        </w:rPr>
        <w:t>НПФы</w:t>
      </w:r>
      <w:proofErr w:type="spellEnd"/>
      <w:r>
        <w:rPr>
          <w:rFonts w:ascii="Times New Roman" w:hAnsi="Times New Roman" w:cs="Times New Roman"/>
          <w:bCs/>
          <w:sz w:val="24"/>
          <w:szCs w:val="24"/>
        </w:rPr>
        <w:t>.</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Риски можно разделить на группы в соответствии со следующей классификацией:</w:t>
      </w:r>
    </w:p>
    <w:p w:rsidR="00E87860" w:rsidRPr="00273C57" w:rsidRDefault="00E87860" w:rsidP="00E87860">
      <w:pPr>
        <w:spacing w:after="0" w:line="360" w:lineRule="auto"/>
        <w:ind w:firstLine="709"/>
        <w:jc w:val="both"/>
        <w:rPr>
          <w:rFonts w:ascii="Times New Roman" w:hAnsi="Times New Roman" w:cs="Times New Roman"/>
          <w:b/>
          <w:bCs/>
          <w:sz w:val="24"/>
          <w:szCs w:val="24"/>
        </w:rPr>
      </w:pPr>
      <w:r w:rsidRPr="00273C57">
        <w:rPr>
          <w:rFonts w:ascii="Times New Roman" w:hAnsi="Times New Roman" w:cs="Times New Roman"/>
          <w:b/>
          <w:bCs/>
          <w:sz w:val="24"/>
          <w:szCs w:val="24"/>
        </w:rPr>
        <w:t>Группа рыночных рисков</w:t>
      </w:r>
    </w:p>
    <w:p w:rsidR="00E87860" w:rsidRDefault="00E87860" w:rsidP="00E87860">
      <w:pPr>
        <w:pStyle w:val="af0"/>
        <w:numPr>
          <w:ilvl w:val="0"/>
          <w:numId w:val="5"/>
        </w:numPr>
        <w:spacing w:line="360" w:lineRule="auto"/>
        <w:ind w:left="0" w:firstLine="709"/>
        <w:jc w:val="both"/>
        <w:rPr>
          <w:bCs/>
        </w:rPr>
      </w:pPr>
      <w:r>
        <w:rPr>
          <w:bCs/>
        </w:rPr>
        <w:t>Финансовые риски.</w:t>
      </w:r>
    </w:p>
    <w:p w:rsidR="00E87860" w:rsidRPr="00273C57" w:rsidRDefault="00E87860" w:rsidP="00E87860">
      <w:pPr>
        <w:spacing w:after="0" w:line="360" w:lineRule="auto"/>
        <w:ind w:firstLine="709"/>
        <w:jc w:val="both"/>
        <w:rPr>
          <w:rFonts w:ascii="Times New Roman" w:hAnsi="Times New Roman" w:cs="Times New Roman"/>
          <w:b/>
          <w:bCs/>
          <w:sz w:val="24"/>
          <w:szCs w:val="24"/>
        </w:rPr>
      </w:pPr>
      <w:r w:rsidRPr="00273C57">
        <w:rPr>
          <w:rFonts w:ascii="Times New Roman" w:hAnsi="Times New Roman" w:cs="Times New Roman"/>
          <w:b/>
          <w:bCs/>
          <w:sz w:val="24"/>
          <w:szCs w:val="24"/>
        </w:rPr>
        <w:t xml:space="preserve">Группа </w:t>
      </w:r>
      <w:proofErr w:type="spellStart"/>
      <w:r w:rsidRPr="00273C57">
        <w:rPr>
          <w:rFonts w:ascii="Times New Roman" w:hAnsi="Times New Roman" w:cs="Times New Roman"/>
          <w:b/>
          <w:bCs/>
          <w:sz w:val="24"/>
          <w:szCs w:val="24"/>
        </w:rPr>
        <w:t>страновых</w:t>
      </w:r>
      <w:proofErr w:type="spellEnd"/>
      <w:r w:rsidRPr="00273C57">
        <w:rPr>
          <w:rFonts w:ascii="Times New Roman" w:hAnsi="Times New Roman" w:cs="Times New Roman"/>
          <w:b/>
          <w:bCs/>
          <w:sz w:val="24"/>
          <w:szCs w:val="24"/>
        </w:rPr>
        <w:t xml:space="preserve"> рисков</w:t>
      </w:r>
    </w:p>
    <w:p w:rsidR="00E87860" w:rsidRPr="00273C57" w:rsidRDefault="00E87860" w:rsidP="00E87860">
      <w:pPr>
        <w:pStyle w:val="af0"/>
        <w:numPr>
          <w:ilvl w:val="0"/>
          <w:numId w:val="5"/>
        </w:numPr>
        <w:spacing w:line="360" w:lineRule="auto"/>
        <w:ind w:left="0" w:firstLine="709"/>
        <w:jc w:val="both"/>
        <w:rPr>
          <w:bCs/>
        </w:rPr>
      </w:pPr>
      <w:r w:rsidRPr="00273C57">
        <w:rPr>
          <w:bCs/>
        </w:rPr>
        <w:t>Демографические риски</w:t>
      </w:r>
    </w:p>
    <w:p w:rsidR="00E87860" w:rsidRDefault="00E87860" w:rsidP="00E87860">
      <w:pPr>
        <w:pStyle w:val="af0"/>
        <w:numPr>
          <w:ilvl w:val="0"/>
          <w:numId w:val="5"/>
        </w:numPr>
        <w:spacing w:line="360" w:lineRule="auto"/>
        <w:ind w:left="0" w:firstLine="709"/>
        <w:jc w:val="both"/>
        <w:rPr>
          <w:bCs/>
        </w:rPr>
      </w:pPr>
      <w:r>
        <w:rPr>
          <w:bCs/>
        </w:rPr>
        <w:t>Политические риски</w:t>
      </w:r>
    </w:p>
    <w:p w:rsidR="00E87860" w:rsidRDefault="00E87860" w:rsidP="00E87860">
      <w:pPr>
        <w:pStyle w:val="af0"/>
        <w:numPr>
          <w:ilvl w:val="0"/>
          <w:numId w:val="5"/>
        </w:numPr>
        <w:spacing w:line="360" w:lineRule="auto"/>
        <w:ind w:left="0" w:firstLine="709"/>
        <w:jc w:val="both"/>
        <w:rPr>
          <w:bCs/>
        </w:rPr>
      </w:pPr>
      <w:r>
        <w:rPr>
          <w:bCs/>
        </w:rPr>
        <w:t>Риски изменения законодательства, в том числе налоговые риски</w:t>
      </w:r>
    </w:p>
    <w:p w:rsidR="00E87860" w:rsidRPr="00273C57" w:rsidRDefault="00E87860" w:rsidP="00E87860">
      <w:pPr>
        <w:spacing w:after="0" w:line="360" w:lineRule="auto"/>
        <w:ind w:firstLine="709"/>
        <w:jc w:val="both"/>
        <w:rPr>
          <w:rFonts w:ascii="Times New Roman" w:hAnsi="Times New Roman" w:cs="Times New Roman"/>
          <w:b/>
          <w:bCs/>
          <w:sz w:val="24"/>
          <w:szCs w:val="24"/>
        </w:rPr>
      </w:pPr>
      <w:r w:rsidRPr="00273C57">
        <w:rPr>
          <w:rFonts w:ascii="Times New Roman" w:hAnsi="Times New Roman" w:cs="Times New Roman"/>
          <w:b/>
          <w:bCs/>
          <w:sz w:val="24"/>
          <w:szCs w:val="24"/>
        </w:rPr>
        <w:t>Группа операционных рисков</w:t>
      </w:r>
    </w:p>
    <w:p w:rsidR="00E87860" w:rsidRDefault="00E87860" w:rsidP="00E87860">
      <w:pPr>
        <w:pStyle w:val="af0"/>
        <w:numPr>
          <w:ilvl w:val="0"/>
          <w:numId w:val="5"/>
        </w:numPr>
        <w:spacing w:line="360" w:lineRule="auto"/>
        <w:ind w:left="0" w:firstLine="709"/>
        <w:jc w:val="both"/>
        <w:rPr>
          <w:bCs/>
        </w:rPr>
      </w:pPr>
      <w:r>
        <w:rPr>
          <w:bCs/>
        </w:rPr>
        <w:t>Управленческие риски</w:t>
      </w:r>
    </w:p>
    <w:p w:rsidR="00E87860" w:rsidRDefault="00E87860" w:rsidP="00E87860">
      <w:pPr>
        <w:pStyle w:val="af0"/>
        <w:numPr>
          <w:ilvl w:val="0"/>
          <w:numId w:val="5"/>
        </w:numPr>
        <w:spacing w:line="360" w:lineRule="auto"/>
        <w:ind w:left="0" w:firstLine="709"/>
        <w:jc w:val="both"/>
        <w:rPr>
          <w:bCs/>
        </w:rPr>
      </w:pPr>
      <w:r>
        <w:rPr>
          <w:bCs/>
        </w:rPr>
        <w:t>Актуарные риски</w:t>
      </w:r>
    </w:p>
    <w:p w:rsidR="00E87860" w:rsidRDefault="00E87860" w:rsidP="00E87860">
      <w:pPr>
        <w:pStyle w:val="af0"/>
        <w:numPr>
          <w:ilvl w:val="0"/>
          <w:numId w:val="5"/>
        </w:numPr>
        <w:spacing w:line="360" w:lineRule="auto"/>
        <w:ind w:left="0" w:firstLine="709"/>
        <w:jc w:val="both"/>
        <w:rPr>
          <w:bCs/>
        </w:rPr>
      </w:pPr>
      <w:r>
        <w:rPr>
          <w:bCs/>
        </w:rPr>
        <w:lastRenderedPageBreak/>
        <w:t>Технологические риски</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Необходимо отметить, что все вышеперечисленные риски носят систематический характер.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Правильный анализ этих рисков может способствовать эффективному и стабильному развитию системы негосударственного пенсионного обеспечения.</w:t>
      </w: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Финансовый риск подразумевает возможность незапланированного изменения финансового результата. К финансовому риску можно отнести: ценовой, валютный и риск ликвидности.</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Ценовой риск подразумевает возможность незапланированного изменения цены на актив. Негосударственные пенсионные фонды должны учитывать этот риск при определении достаточности своих активов для выполнения обязательств перед клиентами. Достаточно вспомнить 2008 год с падением фондовых индексов до 70%. </w:t>
      </w:r>
      <w:proofErr w:type="spellStart"/>
      <w:r>
        <w:rPr>
          <w:rFonts w:ascii="Times New Roman" w:hAnsi="Times New Roman" w:cs="Times New Roman"/>
          <w:bCs/>
          <w:sz w:val="24"/>
          <w:szCs w:val="24"/>
        </w:rPr>
        <w:t>Вылютный</w:t>
      </w:r>
      <w:proofErr w:type="spellEnd"/>
      <w:r>
        <w:rPr>
          <w:rFonts w:ascii="Times New Roman" w:hAnsi="Times New Roman" w:cs="Times New Roman"/>
          <w:bCs/>
          <w:sz w:val="24"/>
          <w:szCs w:val="24"/>
        </w:rPr>
        <w:t xml:space="preserve"> риск – риск неблагоприятного изменения валютного курса. Учитывать этот риск необходимо при размещении негосударственными пенсионными фондами активов в валютные инструменты.</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Риск ликвидности – невозможность в течение короткого промежутка времени реализовать актив по устраивающей продавца цене. Для негосударственных пенсионных фондов управление этим риском является одним из приоритетных вопросов, так как отсутствие ликвидности средств пенсионного резерва может привести к неблагоприятным последствиям при падении котировок финансовых инструментов, в которые размещены резервы. Риск ликвидности также должен учитываться при возможном расторжении договоров пенсионного обеспечения.</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 </w:t>
      </w:r>
      <w:proofErr w:type="spellStart"/>
      <w:r>
        <w:rPr>
          <w:rFonts w:ascii="Times New Roman" w:hAnsi="Times New Roman" w:cs="Times New Roman"/>
          <w:bCs/>
          <w:sz w:val="24"/>
          <w:szCs w:val="24"/>
        </w:rPr>
        <w:t>страновым</w:t>
      </w:r>
      <w:proofErr w:type="spellEnd"/>
      <w:r>
        <w:rPr>
          <w:rFonts w:ascii="Times New Roman" w:hAnsi="Times New Roman" w:cs="Times New Roman"/>
          <w:bCs/>
          <w:sz w:val="24"/>
          <w:szCs w:val="24"/>
        </w:rPr>
        <w:t xml:space="preserve"> рискам относятся риски демографические, политические и законодательные.</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Демографические риски связаны с неблагоприятным изменением демографической ситуации. Они влияют на деятельность негосударственных пенсионных фондов, работающих с пожизненными пенсионными программами. По мнению специалистов, российская демографическая ситуация характеризуется сокращением численности населения (до 126,9 </w:t>
      </w:r>
      <w:proofErr w:type="spellStart"/>
      <w:r>
        <w:rPr>
          <w:rFonts w:ascii="Times New Roman" w:hAnsi="Times New Roman" w:cs="Times New Roman"/>
          <w:bCs/>
          <w:sz w:val="24"/>
          <w:szCs w:val="24"/>
        </w:rPr>
        <w:t>млн</w:t>
      </w:r>
      <w:proofErr w:type="gramStart"/>
      <w:r>
        <w:rPr>
          <w:rFonts w:ascii="Times New Roman" w:hAnsi="Times New Roman" w:cs="Times New Roman"/>
          <w:bCs/>
          <w:sz w:val="24"/>
          <w:szCs w:val="24"/>
        </w:rPr>
        <w:t>.ч</w:t>
      </w:r>
      <w:proofErr w:type="gramEnd"/>
      <w:r>
        <w:rPr>
          <w:rFonts w:ascii="Times New Roman" w:hAnsi="Times New Roman" w:cs="Times New Roman"/>
          <w:bCs/>
          <w:sz w:val="24"/>
          <w:szCs w:val="24"/>
        </w:rPr>
        <w:t>еловек</w:t>
      </w:r>
      <w:proofErr w:type="spellEnd"/>
      <w:r>
        <w:rPr>
          <w:rFonts w:ascii="Times New Roman" w:hAnsi="Times New Roman" w:cs="Times New Roman"/>
          <w:bCs/>
          <w:sz w:val="24"/>
          <w:szCs w:val="24"/>
        </w:rPr>
        <w:t xml:space="preserve"> к 2030 году по прогнозам Федеральной службы государственной статистики (ФСГС)), низкой рождаемостью и массовым распространением малодетности семей, не обеспечивающих простое воспроизводство населения. В связи с этим продолжается демографическое старение населения с низким замещением естественной убыли миграционным притоком.</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Политический риск – риск изменения политической системы с негативными последствиями для рассматриваемого рода деятельности. В настоящее время этот риск является малозначимым.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Риски изменения законодательства – риски, включающие в себя негативное для деятельности НПФ изменение законодательства. За постсоветский период законодательство по пенсионному обеспечению менялось </w:t>
      </w:r>
      <w:r w:rsidR="00A342CA">
        <w:rPr>
          <w:rFonts w:ascii="Times New Roman" w:hAnsi="Times New Roman" w:cs="Times New Roman"/>
          <w:bCs/>
          <w:sz w:val="24"/>
          <w:szCs w:val="24"/>
        </w:rPr>
        <w:t>множество</w:t>
      </w:r>
      <w:r>
        <w:rPr>
          <w:rFonts w:ascii="Times New Roman" w:hAnsi="Times New Roman" w:cs="Times New Roman"/>
          <w:bCs/>
          <w:sz w:val="24"/>
          <w:szCs w:val="24"/>
        </w:rPr>
        <w:t xml:space="preserve"> раз. Меняющееся законодательство не способствует повышению доверия населения к пенсионной системе.</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Налоговые риски – риски того, что налоговый орган при налоговой проверке признает операцию облагаемой налогом. Налоговый риск может возникать также в том случае, если налоговый орган признает сделку недействительной (притворной или мнимой).</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Операционные риски являются одними из наиболее часто возникающих в процессе деятельности, и их доля в потерях при деятельности негосударственных пенсионных фондов может быть весьма существенной.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Управленческие риски – риски, возникающие в результате ошибочных управленческих решений руководства. Возникновение этих рисков возможно при недостаточной компетенции руководства, как в вопросах пенсионного обеспечения, так и в вопросах менеджмента и кадровой политики.</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Актуарные риски – риски, связанные с вероятностью неправильного расчета обязательств негосударственного пенсионного фонда.</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Технологические риски – риски, связанные с программным обеспечением происходящих процессов, системой документооборота по причине неэффективности используемых технологических процессов и работы персонала. Регулирование технологических процессов в негосударственном пенсионном фонде должно иметь утвержденную методологическую основу и базироваться на апробированных решениях с гарантированным качеством результата.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Вопросами управления рисками в НПФ занимается служба </w:t>
      </w:r>
      <w:proofErr w:type="gramStart"/>
      <w:r>
        <w:rPr>
          <w:rFonts w:ascii="Times New Roman" w:hAnsi="Times New Roman" w:cs="Times New Roman"/>
          <w:bCs/>
          <w:sz w:val="24"/>
          <w:szCs w:val="24"/>
        </w:rPr>
        <w:t>риск-менеджмента</w:t>
      </w:r>
      <w:proofErr w:type="gramEnd"/>
      <w:r>
        <w:rPr>
          <w:rFonts w:ascii="Times New Roman" w:hAnsi="Times New Roman" w:cs="Times New Roman"/>
          <w:bCs/>
          <w:sz w:val="24"/>
          <w:szCs w:val="24"/>
        </w:rPr>
        <w:t>. Это управление, способствующее предотвращению убытков и сохранения стоимости архивов, включает:</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регулярную идентификацию и оценку рисков для определения их величины и факторов рисков;</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определение допустимого уровня принимаемого риска;</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расчет величины источников покрытия риска.</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целом основными методами управления рисками в негосударственных пенсионных фондах являются: </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мониторинг и контроль рисков, в процессе которого происходит идентификация и оценка рисков, используемая при принятии дальнейших управленческих решений;</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диверсификация рисков, направленная на снижение максимально возможных потерь в результате реализации риска, инициированного одним событием;</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ограничение рисков, предусматривающее установление лимита деятельности, позволяющее «смягчать» потери от реализации рисков в заранее определенных пределах;</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резервирование риска, предусматривающее предварительное признание финансовых рисков в итогах финансовой деятельности Фонда и рыночной стоимости его финансовых инструментах, и компенсацию реализованных рисков за счет созданного резерва (источников покрытия рисков);</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страхование риска – компенсация ущерба вследствие реализации финансовых рисков по договору со страховой компанией в случае наступления страхового случая в пределах страховой суммы;</w:t>
      </w:r>
    </w:p>
    <w:p w:rsidR="00E87860"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избежание</w:t>
      </w:r>
      <w:proofErr w:type="gramEnd"/>
      <w:r>
        <w:rPr>
          <w:rFonts w:ascii="Times New Roman" w:hAnsi="Times New Roman" w:cs="Times New Roman"/>
          <w:bCs/>
          <w:sz w:val="24"/>
          <w:szCs w:val="24"/>
        </w:rPr>
        <w:t xml:space="preserve"> риска – отказ от реализации операций (проектов), связанных с неприемлемо высоким уровнем риска.</w:t>
      </w:r>
    </w:p>
    <w:p w:rsidR="00A342CA" w:rsidRDefault="00E87860" w:rsidP="00E8786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A342CA">
        <w:rPr>
          <w:rFonts w:ascii="Times New Roman" w:hAnsi="Times New Roman" w:cs="Times New Roman"/>
          <w:bCs/>
          <w:sz w:val="24"/>
          <w:szCs w:val="24"/>
        </w:rPr>
        <w:t>ближайшее</w:t>
      </w:r>
      <w:r>
        <w:rPr>
          <w:rFonts w:ascii="Times New Roman" w:hAnsi="Times New Roman" w:cs="Times New Roman"/>
          <w:bCs/>
          <w:sz w:val="24"/>
          <w:szCs w:val="24"/>
        </w:rPr>
        <w:t xml:space="preserve"> время </w:t>
      </w:r>
      <w:r w:rsidR="00A342CA">
        <w:rPr>
          <w:rFonts w:ascii="Times New Roman" w:hAnsi="Times New Roman" w:cs="Times New Roman"/>
          <w:bCs/>
          <w:sz w:val="24"/>
          <w:szCs w:val="24"/>
        </w:rPr>
        <w:t>негосударственные пенсионные фонды войдут в систему государственного гарантирования сохранности пенсионных накоплений, что значительно повысит уровень управления рисками.</w:t>
      </w: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rPr>
          <w:rFonts w:ascii="Times New Roman" w:hAnsi="Times New Roman" w:cs="Times New Roman"/>
          <w:bCs/>
          <w:sz w:val="24"/>
          <w:szCs w:val="24"/>
        </w:rPr>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116BF3" w:rsidRDefault="00116BF3" w:rsidP="00E87860">
      <w:pPr>
        <w:spacing w:after="0" w:line="360" w:lineRule="auto"/>
        <w:ind w:firstLine="709"/>
        <w:jc w:val="both"/>
      </w:pPr>
    </w:p>
    <w:p w:rsidR="00116BF3" w:rsidRDefault="00116BF3"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Pr="00E87860" w:rsidRDefault="00E87860" w:rsidP="00E87860">
      <w:pPr>
        <w:spacing w:after="0" w:line="360" w:lineRule="auto"/>
        <w:ind w:firstLine="709"/>
        <w:jc w:val="center"/>
        <w:rPr>
          <w:rFonts w:ascii="Times New Roman" w:hAnsi="Times New Roman" w:cs="Times New Roman"/>
          <w:b/>
          <w:color w:val="000000" w:themeColor="text1"/>
          <w:sz w:val="28"/>
          <w:szCs w:val="28"/>
        </w:rPr>
      </w:pPr>
      <w:r w:rsidRPr="00E87860">
        <w:rPr>
          <w:rFonts w:ascii="Times New Roman" w:hAnsi="Times New Roman" w:cs="Times New Roman"/>
          <w:b/>
          <w:color w:val="000000" w:themeColor="text1"/>
          <w:sz w:val="28"/>
          <w:szCs w:val="28"/>
        </w:rPr>
        <w:lastRenderedPageBreak/>
        <w:t>Государственное регулирование деятельности</w:t>
      </w:r>
    </w:p>
    <w:p w:rsidR="00E87860" w:rsidRPr="00E87860" w:rsidRDefault="00E87860" w:rsidP="00E87860">
      <w:pPr>
        <w:spacing w:after="0" w:line="360" w:lineRule="auto"/>
        <w:ind w:firstLine="709"/>
        <w:jc w:val="center"/>
        <w:rPr>
          <w:rFonts w:ascii="Times New Roman" w:hAnsi="Times New Roman" w:cs="Times New Roman"/>
          <w:b/>
          <w:color w:val="000000" w:themeColor="text1"/>
          <w:sz w:val="28"/>
          <w:szCs w:val="28"/>
        </w:rPr>
      </w:pPr>
      <w:r w:rsidRPr="00E87860">
        <w:rPr>
          <w:rFonts w:ascii="Times New Roman" w:hAnsi="Times New Roman" w:cs="Times New Roman"/>
          <w:b/>
          <w:color w:val="000000" w:themeColor="text1"/>
          <w:sz w:val="28"/>
          <w:szCs w:val="28"/>
        </w:rPr>
        <w:t>негосударственных пенсионных фондов</w:t>
      </w:r>
    </w:p>
    <w:p w:rsidR="00E87860" w:rsidRPr="00E87860" w:rsidRDefault="00E87860" w:rsidP="00E8786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w:t>
      </w:r>
    </w:p>
    <w:p w:rsidR="00E87860" w:rsidRPr="00E87860" w:rsidRDefault="00E87860" w:rsidP="00E87860">
      <w:pPr>
        <w:spacing w:after="0" w:line="360" w:lineRule="auto"/>
        <w:ind w:firstLine="709"/>
        <w:jc w:val="right"/>
        <w:rPr>
          <w:rFonts w:ascii="Times New Roman" w:hAnsi="Times New Roman" w:cs="Times New Roman"/>
          <w:b/>
          <w:i/>
          <w:sz w:val="24"/>
          <w:szCs w:val="24"/>
        </w:rPr>
      </w:pPr>
      <w:r w:rsidRPr="00E87860">
        <w:rPr>
          <w:rFonts w:ascii="Times New Roman" w:hAnsi="Times New Roman" w:cs="Times New Roman"/>
          <w:b/>
          <w:i/>
          <w:sz w:val="24"/>
          <w:szCs w:val="24"/>
        </w:rPr>
        <w:t xml:space="preserve">Михаил Михайлович </w:t>
      </w:r>
      <w:proofErr w:type="spellStart"/>
      <w:r w:rsidRPr="00E87860">
        <w:rPr>
          <w:rFonts w:ascii="Times New Roman" w:hAnsi="Times New Roman" w:cs="Times New Roman"/>
          <w:b/>
          <w:i/>
          <w:sz w:val="24"/>
          <w:szCs w:val="24"/>
        </w:rPr>
        <w:t>Аранжереев</w:t>
      </w:r>
      <w:proofErr w:type="spellEnd"/>
    </w:p>
    <w:p w:rsidR="00E87860" w:rsidRPr="00E87860" w:rsidRDefault="00E87860" w:rsidP="00E87860">
      <w:pPr>
        <w:spacing w:after="0" w:line="360" w:lineRule="auto"/>
        <w:ind w:firstLine="709"/>
        <w:jc w:val="right"/>
        <w:rPr>
          <w:rFonts w:ascii="Times New Roman" w:hAnsi="Times New Roman" w:cs="Times New Roman"/>
          <w:i/>
          <w:sz w:val="24"/>
          <w:szCs w:val="24"/>
        </w:rPr>
      </w:pPr>
      <w:r w:rsidRPr="00E87860">
        <w:rPr>
          <w:rFonts w:ascii="Times New Roman" w:hAnsi="Times New Roman" w:cs="Times New Roman"/>
          <w:i/>
          <w:sz w:val="24"/>
          <w:szCs w:val="24"/>
        </w:rPr>
        <w:t>Советник президента фонда «Алмазная осень»</w:t>
      </w:r>
    </w:p>
    <w:p w:rsid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w:t>
      </w:r>
      <w:proofErr w:type="gramStart"/>
      <w:r w:rsidRPr="00E87860">
        <w:rPr>
          <w:rFonts w:ascii="Times New Roman" w:hAnsi="Times New Roman" w:cs="Times New Roman"/>
          <w:color w:val="000000" w:themeColor="text1"/>
          <w:sz w:val="24"/>
          <w:szCs w:val="24"/>
        </w:rPr>
        <w:t>Государственное регулирование деятельности негосударственных пенсионных фондов (НПФ) можно определить как воздействие государства в лице уполномоченных государственных органов на все этапы деятельности фондов, с целью придать данной деятельности организованный характер, упорядочить действия участвующих в ней субъектов, обеспечить должное соблюдение ими законодательства, защитить права и интересы участников и застрахованных лиц, иных заинтересованных лиц и государства, способствовать повышению экономической эффективности деятельности фондов, оптимизации</w:t>
      </w:r>
      <w:proofErr w:type="gramEnd"/>
      <w:r w:rsidRPr="00E87860">
        <w:rPr>
          <w:rFonts w:ascii="Times New Roman" w:hAnsi="Times New Roman" w:cs="Times New Roman"/>
          <w:color w:val="000000" w:themeColor="text1"/>
          <w:sz w:val="24"/>
          <w:szCs w:val="24"/>
        </w:rPr>
        <w:t xml:space="preserve"> их функционирования и развития.</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При этом государственные гарантии защиты прав и законных интересов участников НПФ обеспечиваются: структурой имущества фонда, открытостью и прозрачностью его деятельности, мероприятиями по страхованию рисков, а также иными мерами, призванными обеспечить сохранность средств, переданных в негосударственные пенсионные фонды.</w:t>
      </w:r>
    </w:p>
    <w:p w:rsidR="00E87860" w:rsidRPr="00E87860" w:rsidRDefault="00E87860" w:rsidP="00E87860">
      <w:pPr>
        <w:pStyle w:val="2"/>
        <w:spacing w:after="0" w:line="360" w:lineRule="auto"/>
        <w:ind w:firstLine="709"/>
        <w:jc w:val="both"/>
        <w:rPr>
          <w:color w:val="000000" w:themeColor="text1"/>
        </w:rPr>
      </w:pPr>
      <w:r w:rsidRPr="00E87860">
        <w:rPr>
          <w:color w:val="000000" w:themeColor="text1"/>
        </w:rPr>
        <w:t xml:space="preserve">     Организация государственного регулирования отрасли НПФ учитывает международный опыт, разработанный Международной Ассоциацией Пенсионных регуляторов (</w:t>
      </w:r>
      <w:r w:rsidRPr="00E87860">
        <w:rPr>
          <w:color w:val="000000" w:themeColor="text1"/>
          <w:lang w:val="en-US"/>
        </w:rPr>
        <w:t>INPRS</w:t>
      </w:r>
      <w:r w:rsidRPr="00E87860">
        <w:rPr>
          <w:color w:val="000000" w:themeColor="text1"/>
        </w:rPr>
        <w:t>)</w:t>
      </w:r>
      <w:r w:rsidRPr="00E87860">
        <w:rPr>
          <w:b/>
          <w:i/>
          <w:color w:val="000000" w:themeColor="text1"/>
        </w:rPr>
        <w:t>.</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Собственно, государственное регулирование деятельности негосударственных пенсионных фондов осуществляется:</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Министерством труда и социального развития Российской Федерации в части правоотношений между фондом и участниками фонда, застрахованными лицами и их правопреемниками, а также в части правоотношений, субъектом которых является ПФР;</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Банком России (ранее Федеральной Службой по финансовым рынкам - ФСФР) во всех остальных правоотношениях по негосударственному пенсионному обеспечению.</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Распределение функций по регулированию деятельности НПФ между указанными государственными органами подчеркивает, с одной стороны, социальную </w:t>
      </w:r>
      <w:r w:rsidRPr="00E87860">
        <w:rPr>
          <w:rFonts w:ascii="Times New Roman" w:hAnsi="Times New Roman" w:cs="Times New Roman"/>
          <w:color w:val="000000" w:themeColor="text1"/>
          <w:sz w:val="24"/>
          <w:szCs w:val="24"/>
        </w:rPr>
        <w:lastRenderedPageBreak/>
        <w:t xml:space="preserve">значимость НПФ, а с другой, необходимость регулирования деятельности НПФ как финансового института. </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Надо отметить, что после вступления в силу Федерального закона от 27 декабря 2009 года №378-ФЗ перечень функций уполномоченного федерального органа был конкретизирован. В частности, законодатель четко определил пределы нормотворческой деятельности уполномоченного федерального органа по вопросам регулирования деятельности фондов, а также регулирование отношений между фондом, участниками фонда, застрахованными лицами и их правопреемниками.</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w:t>
      </w:r>
      <w:proofErr w:type="gramStart"/>
      <w:r w:rsidRPr="00E87860">
        <w:rPr>
          <w:color w:val="000000" w:themeColor="text1"/>
          <w:sz w:val="24"/>
          <w:szCs w:val="24"/>
        </w:rPr>
        <w:t xml:space="preserve">Механизм государственного регулирования в широком смысле слова включает: прогнозирование, планирование, финансирование, бюджетирование, налогообложение, лицензирование, кредитование, администрирование, учет, контроль, надзор. </w:t>
      </w:r>
      <w:proofErr w:type="gramEnd"/>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Надзор в сфере деятельности негосударственных пенсионных фондов выполняет три основные группы функций:</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1) лицензионные, включающие лицензирование деятельности негосударственных пенсионных фондов;</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2) </w:t>
      </w:r>
      <w:proofErr w:type="gramStart"/>
      <w:r w:rsidRPr="00E87860">
        <w:rPr>
          <w:rFonts w:ascii="Times New Roman" w:hAnsi="Times New Roman" w:cs="Times New Roman"/>
          <w:color w:val="000000" w:themeColor="text1"/>
          <w:sz w:val="24"/>
          <w:szCs w:val="24"/>
        </w:rPr>
        <w:t>нормотворческие</w:t>
      </w:r>
      <w:proofErr w:type="gramEnd"/>
      <w:r w:rsidRPr="00E87860">
        <w:rPr>
          <w:rFonts w:ascii="Times New Roman" w:hAnsi="Times New Roman" w:cs="Times New Roman"/>
          <w:color w:val="000000" w:themeColor="text1"/>
          <w:sz w:val="24"/>
          <w:szCs w:val="24"/>
        </w:rPr>
        <w:t>, включающие издание подзаконных нормативных актов;</w:t>
      </w:r>
    </w:p>
    <w:p w:rsidR="00E87860" w:rsidRPr="00E87860" w:rsidRDefault="00E87860" w:rsidP="00E87860">
      <w:pPr>
        <w:pStyle w:val="ConsPlusNormal"/>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3) </w:t>
      </w:r>
      <w:proofErr w:type="gramStart"/>
      <w:r w:rsidRPr="00E87860">
        <w:rPr>
          <w:rFonts w:ascii="Times New Roman" w:hAnsi="Times New Roman" w:cs="Times New Roman"/>
          <w:color w:val="000000" w:themeColor="text1"/>
          <w:sz w:val="24"/>
          <w:szCs w:val="24"/>
        </w:rPr>
        <w:t>контрольные</w:t>
      </w:r>
      <w:proofErr w:type="gramEnd"/>
      <w:r w:rsidRPr="00E87860">
        <w:rPr>
          <w:rFonts w:ascii="Times New Roman" w:hAnsi="Times New Roman" w:cs="Times New Roman"/>
          <w:color w:val="000000" w:themeColor="text1"/>
          <w:sz w:val="24"/>
          <w:szCs w:val="24"/>
        </w:rPr>
        <w:t>, включающие непосредственный контроль за финансовой устойчивостью негосударственных пенсионных фондов и деятельностью негосударственных пенсионных фондов по исполнению ими требований нормативных актов и своих обязательств по договорам.</w:t>
      </w:r>
    </w:p>
    <w:p w:rsidR="00E87860" w:rsidRPr="00E87860" w:rsidRDefault="00E87860" w:rsidP="00E87860">
      <w:pPr>
        <w:pStyle w:val="ConsPlusNonformat"/>
        <w:widowContro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Свою контрольную функцию за текущей деятельностью НПФ Банк России осуществляет на основании их квартальной и годовой отчетности, заключений аудиторов, актуарного оценивания, а также по результатам выездных и камеральных проверок. Уполномоченный федеральный орган проводит плановые проверки не чаще одного раза в год; внеплановые проверки - в случае обнаружения признаков соответствующих нарушений, в том числе на основании отчетов фондов,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 Любой вкладчик, участник либо застрахованное лицо может обратиться в Банк России с жалобой на недобросовестность пенсионного фонда. Особую роль в механизме государственного регулирования деятельности НПФ занимает лицензирование. </w:t>
      </w:r>
    </w:p>
    <w:p w:rsidR="00E87860" w:rsidRPr="00E87860" w:rsidRDefault="00E87860" w:rsidP="00E87860">
      <w:pPr>
        <w:pStyle w:val="3"/>
        <w:spacing w:after="0" w:line="360" w:lineRule="auto"/>
        <w:ind w:firstLine="709"/>
        <w:jc w:val="both"/>
        <w:rPr>
          <w:color w:val="000000" w:themeColor="text1"/>
          <w:sz w:val="24"/>
          <w:szCs w:val="24"/>
        </w:rPr>
      </w:pPr>
      <w:r w:rsidRPr="00E87860">
        <w:rPr>
          <w:color w:val="000000" w:themeColor="text1"/>
          <w:sz w:val="24"/>
          <w:szCs w:val="24"/>
        </w:rPr>
        <w:lastRenderedPageBreak/>
        <w:t xml:space="preserve">     Лицензирование как административно-правовой институт представляет собой систему административно-правовых норм, регулирующих отношения в области предоставления, отзыва, аннулирования, приостановления действия лицензий, а также надзора за экономическими субъектами по соблюдению правил лицензирования отдельных видов предпринимательской деятельности, привлечения к ответственности нарушителей этих правил.</w:t>
      </w:r>
    </w:p>
    <w:p w:rsidR="00116BF3" w:rsidRDefault="00E87860" w:rsidP="00E87860">
      <w:pPr>
        <w:pStyle w:val="2"/>
        <w:autoSpaceDE w:val="0"/>
        <w:autoSpaceDN w:val="0"/>
        <w:adjustRightInd w:val="0"/>
        <w:spacing w:after="0" w:line="360" w:lineRule="auto"/>
        <w:ind w:firstLine="709"/>
        <w:jc w:val="both"/>
        <w:rPr>
          <w:color w:val="000000" w:themeColor="text1"/>
        </w:rPr>
      </w:pPr>
      <w:r w:rsidRPr="00E87860">
        <w:rPr>
          <w:color w:val="000000" w:themeColor="text1"/>
        </w:rPr>
        <w:t xml:space="preserve">     </w:t>
      </w:r>
      <w:proofErr w:type="gramStart"/>
      <w:r w:rsidRPr="00E87860">
        <w:rPr>
          <w:color w:val="000000" w:themeColor="text1"/>
        </w:rPr>
        <w:t xml:space="preserve">Лицензионными условиями при предоставлении лицензии являются требования: к организационно-правовой форме фонда; пенсионным правилам фонда, а если фонд предполагает осуществлять деятельность по обязательному пенсионному страхованию, также к страховым правилам; лицу, осуществляющему функции единоличного исполнительного органа, членам коллегиального исполнительного органа, главному бухгалтеру, </w:t>
      </w:r>
      <w:r w:rsidR="00116BF3">
        <w:rPr>
          <w:color w:val="000000" w:themeColor="text1"/>
        </w:rPr>
        <w:t>его заместителям; к организации</w:t>
      </w:r>
      <w:r w:rsidRPr="00E87860">
        <w:rPr>
          <w:color w:val="000000" w:themeColor="text1"/>
        </w:rPr>
        <w:t xml:space="preserve"> внутреннего контроля </w:t>
      </w:r>
      <w:r w:rsidR="00116BF3">
        <w:rPr>
          <w:color w:val="000000" w:themeColor="text1"/>
        </w:rPr>
        <w:t xml:space="preserve">в </w:t>
      </w:r>
      <w:r w:rsidRPr="00E87860">
        <w:rPr>
          <w:color w:val="000000" w:themeColor="text1"/>
        </w:rPr>
        <w:t>фонд</w:t>
      </w:r>
      <w:r w:rsidR="00116BF3">
        <w:rPr>
          <w:color w:val="000000" w:themeColor="text1"/>
        </w:rPr>
        <w:t>е; к размеру уставного капитала фонда.</w:t>
      </w:r>
      <w:proofErr w:type="gramEnd"/>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Административными мерами, применяемыми уполномоченным федеральным органом к НПФ, являются: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запрет на проведение всех или части операций;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применение иных меры ответственности, установленных федеральными законами;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в случаях, предусмотренных законодательством, аннулирование лицензии и назначение в фонд временной администрации; </w:t>
      </w:r>
    </w:p>
    <w:p w:rsidR="00E87860" w:rsidRPr="00E87860" w:rsidRDefault="00E87860" w:rsidP="00E87860">
      <w:pPr>
        <w:pStyle w:val="ConsNormal"/>
        <w:spacing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введение запрета на проведение операций фонда.</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Банк России устанавливает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 утверждает программы квалификационных экзаменов для аттестации граждан в сфере деятельности по негосударст</w:t>
      </w:r>
      <w:r w:rsidR="00116BF3">
        <w:rPr>
          <w:rFonts w:ascii="Times New Roman" w:hAnsi="Times New Roman" w:cs="Times New Roman"/>
          <w:color w:val="000000" w:themeColor="text1"/>
          <w:sz w:val="24"/>
          <w:szCs w:val="24"/>
        </w:rPr>
        <w:t>венному пенсионному обеспечению и</w:t>
      </w:r>
      <w:r w:rsidRPr="00E87860">
        <w:rPr>
          <w:rFonts w:ascii="Times New Roman" w:hAnsi="Times New Roman" w:cs="Times New Roman"/>
          <w:color w:val="000000" w:themeColor="text1"/>
          <w:sz w:val="24"/>
          <w:szCs w:val="24"/>
        </w:rPr>
        <w:t xml:space="preserve"> обязательному пенсионному страхованию. </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t xml:space="preserve">     Законодательство предоставляет возможность Банку России привлекать фонды, а также их должностных лиц к административной ответственности, а также обращаться в суд с требованием о ликвидации фондов, управляющих компаний и специализированных депозитариев, осуществляющих деятельность без соответствующих лицензий. Банк России обладает правом обращения в суд в порядке, предусмотренном Гражданским процессуальным кодексом РФ с иском в защиту интересов вкладчиков, участников и застрахованных лиц в случае нарушения их прав и законных интересов.</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r w:rsidRPr="00E87860">
        <w:rPr>
          <w:rFonts w:ascii="Times New Roman" w:hAnsi="Times New Roman" w:cs="Times New Roman"/>
          <w:color w:val="000000" w:themeColor="text1"/>
          <w:sz w:val="24"/>
          <w:szCs w:val="24"/>
        </w:rPr>
        <w:lastRenderedPageBreak/>
        <w:t xml:space="preserve">     Помимо государственного регулирования предусмотрена и структура органов внутреннего контроля НПФ.</w:t>
      </w:r>
      <w:r w:rsidRPr="00E87860">
        <w:rPr>
          <w:rFonts w:ascii="Times New Roman" w:hAnsi="Times New Roman" w:cs="Times New Roman"/>
          <w:b/>
          <w:i/>
          <w:color w:val="000000" w:themeColor="text1"/>
          <w:sz w:val="24"/>
          <w:szCs w:val="24"/>
        </w:rPr>
        <w:t xml:space="preserve"> </w:t>
      </w:r>
      <w:r w:rsidRPr="00E87860">
        <w:rPr>
          <w:rFonts w:ascii="Times New Roman" w:hAnsi="Times New Roman" w:cs="Times New Roman"/>
          <w:color w:val="000000" w:themeColor="text1"/>
          <w:sz w:val="24"/>
          <w:szCs w:val="24"/>
        </w:rPr>
        <w:t xml:space="preserve">Общая структура контроля представлена </w:t>
      </w:r>
      <w:r w:rsidR="00116BF3">
        <w:rPr>
          <w:rFonts w:ascii="Times New Roman" w:hAnsi="Times New Roman" w:cs="Times New Roman"/>
          <w:color w:val="000000" w:themeColor="text1"/>
          <w:sz w:val="24"/>
          <w:szCs w:val="24"/>
        </w:rPr>
        <w:t>в Таблице</w:t>
      </w:r>
      <w:r w:rsidRPr="00E87860">
        <w:rPr>
          <w:rFonts w:ascii="Times New Roman" w:hAnsi="Times New Roman" w:cs="Times New Roman"/>
          <w:color w:val="000000" w:themeColor="text1"/>
          <w:sz w:val="24"/>
          <w:szCs w:val="24"/>
        </w:rPr>
        <w:t>.</w:t>
      </w: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116BF3" w:rsidP="00E87860">
      <w:pPr>
        <w:spacing w:after="0" w:line="360" w:lineRule="auto"/>
        <w:ind w:firstLine="709"/>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Таблица</w:t>
      </w:r>
      <w:r>
        <w:rPr>
          <w:rFonts w:ascii="Times New Roman" w:hAnsi="Times New Roman" w:cs="Times New Roman"/>
          <w:b/>
          <w:i/>
          <w:color w:val="000000" w:themeColor="text1"/>
          <w:sz w:val="24"/>
          <w:szCs w:val="24"/>
        </w:rPr>
        <w:br/>
      </w:r>
    </w:p>
    <w:p w:rsidR="00E87860" w:rsidRPr="00E87860" w:rsidRDefault="00E87860" w:rsidP="00E87860">
      <w:pPr>
        <w:spacing w:after="0" w:line="360" w:lineRule="auto"/>
        <w:ind w:firstLine="709"/>
        <w:jc w:val="both"/>
        <w:rPr>
          <w:rFonts w:ascii="Times New Roman" w:hAnsi="Times New Roman" w:cs="Times New Roman"/>
          <w:b/>
          <w:color w:val="000000" w:themeColor="text1"/>
          <w:sz w:val="24"/>
          <w:szCs w:val="24"/>
        </w:rPr>
      </w:pPr>
      <w:r w:rsidRPr="00E87860">
        <w:rPr>
          <w:rFonts w:ascii="Times New Roman" w:hAnsi="Times New Roman" w:cs="Times New Roman"/>
          <w:b/>
          <w:color w:val="000000" w:themeColor="text1"/>
          <w:sz w:val="24"/>
          <w:szCs w:val="24"/>
        </w:rPr>
        <w:t>Контроль над деятельностью фонда</w:t>
      </w:r>
    </w:p>
    <w:p w:rsidR="00E87860" w:rsidRPr="00E87860" w:rsidRDefault="00E87860" w:rsidP="00E87860">
      <w:pPr>
        <w:spacing w:after="0" w:line="360" w:lineRule="auto"/>
        <w:ind w:firstLine="709"/>
        <w:jc w:val="both"/>
        <w:rPr>
          <w:rFonts w:ascii="Times New Roman" w:hAnsi="Times New Roman" w:cs="Times New Roman"/>
          <w:b/>
          <w:color w:val="000000" w:themeColor="text1"/>
          <w:sz w:val="24"/>
          <w:szCs w:val="24"/>
        </w:rPr>
      </w:pPr>
    </w:p>
    <w:tbl>
      <w:tblPr>
        <w:tblStyle w:val="ab"/>
        <w:tblW w:w="0" w:type="auto"/>
        <w:tblLook w:val="04A0" w:firstRow="1" w:lastRow="0" w:firstColumn="1" w:lastColumn="0" w:noHBand="0" w:noVBand="1"/>
      </w:tblPr>
      <w:tblGrid>
        <w:gridCol w:w="3190"/>
        <w:gridCol w:w="3190"/>
        <w:gridCol w:w="3191"/>
      </w:tblGrid>
      <w:tr w:rsidR="00E87860" w:rsidRPr="00E87860" w:rsidTr="00116BF3">
        <w:tc>
          <w:tcPr>
            <w:tcW w:w="3190" w:type="dxa"/>
          </w:tcPr>
          <w:p w:rsidR="00E87860" w:rsidRPr="00E87860" w:rsidRDefault="00E87860" w:rsidP="00E87860">
            <w:pPr>
              <w:spacing w:line="360" w:lineRule="auto"/>
              <w:ind w:firstLine="709"/>
              <w:jc w:val="both"/>
              <w:rPr>
                <w:b/>
                <w:color w:val="000000" w:themeColor="text1"/>
                <w:sz w:val="24"/>
                <w:szCs w:val="24"/>
              </w:rPr>
            </w:pPr>
            <w:r w:rsidRPr="00E87860">
              <w:rPr>
                <w:b/>
                <w:color w:val="000000" w:themeColor="text1"/>
                <w:sz w:val="24"/>
                <w:szCs w:val="24"/>
              </w:rPr>
              <w:t>Государственная система контроля</w:t>
            </w:r>
          </w:p>
        </w:tc>
        <w:tc>
          <w:tcPr>
            <w:tcW w:w="3190" w:type="dxa"/>
          </w:tcPr>
          <w:p w:rsidR="00E87860" w:rsidRPr="00E87860" w:rsidRDefault="00E87860" w:rsidP="00E87860">
            <w:pPr>
              <w:spacing w:line="360" w:lineRule="auto"/>
              <w:ind w:firstLine="709"/>
              <w:jc w:val="both"/>
              <w:rPr>
                <w:b/>
                <w:color w:val="000000" w:themeColor="text1"/>
                <w:sz w:val="24"/>
                <w:szCs w:val="24"/>
              </w:rPr>
            </w:pPr>
            <w:r w:rsidRPr="00E87860">
              <w:rPr>
                <w:b/>
                <w:color w:val="000000" w:themeColor="text1"/>
                <w:sz w:val="24"/>
                <w:szCs w:val="24"/>
              </w:rPr>
              <w:t>Вневедомственная система контроля</w:t>
            </w:r>
          </w:p>
        </w:tc>
        <w:tc>
          <w:tcPr>
            <w:tcW w:w="3191" w:type="dxa"/>
          </w:tcPr>
          <w:p w:rsidR="00E87860" w:rsidRPr="00E87860" w:rsidRDefault="00E87860" w:rsidP="00E87860">
            <w:pPr>
              <w:spacing w:line="360" w:lineRule="auto"/>
              <w:ind w:firstLine="709"/>
              <w:jc w:val="both"/>
              <w:rPr>
                <w:b/>
                <w:color w:val="000000" w:themeColor="text1"/>
                <w:sz w:val="24"/>
                <w:szCs w:val="24"/>
              </w:rPr>
            </w:pPr>
            <w:r w:rsidRPr="00E87860">
              <w:rPr>
                <w:b/>
                <w:color w:val="000000" w:themeColor="text1"/>
                <w:sz w:val="24"/>
                <w:szCs w:val="24"/>
              </w:rPr>
              <w:t>Внутренняя система контроля</w:t>
            </w:r>
          </w:p>
        </w:tc>
      </w:tr>
      <w:tr w:rsidR="00E87860" w:rsidRPr="00E87860" w:rsidTr="00116BF3">
        <w:tc>
          <w:tcPr>
            <w:tcW w:w="3190" w:type="dxa"/>
          </w:tcPr>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Банк России</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Пенсионный фонд РФ</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xml:space="preserve">-Федеральная антимонопольная служба </w:t>
            </w:r>
          </w:p>
          <w:p w:rsidR="00E87860" w:rsidRPr="00E87860" w:rsidRDefault="00E87860" w:rsidP="00E87860">
            <w:pPr>
              <w:spacing w:line="360" w:lineRule="auto"/>
              <w:ind w:firstLine="709"/>
              <w:jc w:val="both"/>
              <w:rPr>
                <w:b/>
                <w:color w:val="000000" w:themeColor="text1"/>
                <w:sz w:val="24"/>
                <w:szCs w:val="24"/>
              </w:rPr>
            </w:pPr>
            <w:r w:rsidRPr="00E87860">
              <w:rPr>
                <w:color w:val="000000" w:themeColor="text1"/>
                <w:sz w:val="24"/>
                <w:szCs w:val="24"/>
              </w:rPr>
              <w:t>- Минтруд РФ</w:t>
            </w:r>
          </w:p>
        </w:tc>
        <w:tc>
          <w:tcPr>
            <w:tcW w:w="3190" w:type="dxa"/>
          </w:tcPr>
          <w:p w:rsidR="00E87860" w:rsidRPr="00E87860" w:rsidRDefault="00E87860" w:rsidP="00E87860">
            <w:pPr>
              <w:spacing w:line="360" w:lineRule="auto"/>
              <w:ind w:firstLine="709"/>
              <w:jc w:val="both"/>
              <w:rPr>
                <w:color w:val="000000" w:themeColor="text1"/>
                <w:sz w:val="24"/>
                <w:szCs w:val="24"/>
              </w:rPr>
            </w:pPr>
            <w:r w:rsidRPr="00E87860">
              <w:rPr>
                <w:b/>
                <w:color w:val="000000" w:themeColor="text1"/>
                <w:sz w:val="24"/>
                <w:szCs w:val="24"/>
              </w:rPr>
              <w:t xml:space="preserve">- </w:t>
            </w:r>
            <w:r w:rsidRPr="00E87860">
              <w:rPr>
                <w:color w:val="000000" w:themeColor="text1"/>
                <w:sz w:val="24"/>
                <w:szCs w:val="24"/>
              </w:rPr>
              <w:t>Специализированный депозитарий</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Независимый аудитор</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Независимый актуарий</w:t>
            </w:r>
          </w:p>
        </w:tc>
        <w:tc>
          <w:tcPr>
            <w:tcW w:w="3191" w:type="dxa"/>
          </w:tcPr>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xml:space="preserve">- Совет </w:t>
            </w:r>
            <w:r w:rsidR="00116BF3">
              <w:rPr>
                <w:color w:val="000000" w:themeColor="text1"/>
                <w:sz w:val="24"/>
                <w:szCs w:val="24"/>
              </w:rPr>
              <w:t xml:space="preserve">директоров </w:t>
            </w:r>
            <w:r w:rsidRPr="00E87860">
              <w:rPr>
                <w:color w:val="000000" w:themeColor="text1"/>
                <w:sz w:val="24"/>
                <w:szCs w:val="24"/>
              </w:rPr>
              <w:t>фонда</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Попечительский совет фонда</w:t>
            </w:r>
          </w:p>
          <w:p w:rsidR="00E87860" w:rsidRPr="00E87860" w:rsidRDefault="00E87860" w:rsidP="00E87860">
            <w:pPr>
              <w:spacing w:line="360" w:lineRule="auto"/>
              <w:ind w:firstLine="709"/>
              <w:jc w:val="both"/>
              <w:rPr>
                <w:color w:val="000000" w:themeColor="text1"/>
                <w:sz w:val="24"/>
                <w:szCs w:val="24"/>
              </w:rPr>
            </w:pPr>
            <w:r w:rsidRPr="00E87860">
              <w:rPr>
                <w:color w:val="000000" w:themeColor="text1"/>
                <w:sz w:val="24"/>
                <w:szCs w:val="24"/>
              </w:rPr>
              <w:t>- Ревизионная комиссия</w:t>
            </w:r>
          </w:p>
          <w:p w:rsidR="00E87860" w:rsidRPr="00E87860" w:rsidRDefault="00E87860" w:rsidP="00E87860">
            <w:pPr>
              <w:spacing w:line="360" w:lineRule="auto"/>
              <w:ind w:firstLine="709"/>
              <w:jc w:val="both"/>
              <w:rPr>
                <w:b/>
                <w:color w:val="000000" w:themeColor="text1"/>
                <w:sz w:val="24"/>
                <w:szCs w:val="24"/>
              </w:rPr>
            </w:pPr>
            <w:r w:rsidRPr="00E87860">
              <w:rPr>
                <w:color w:val="000000" w:themeColor="text1"/>
                <w:sz w:val="24"/>
                <w:szCs w:val="24"/>
              </w:rPr>
              <w:t>- Внутренний контролер</w:t>
            </w:r>
          </w:p>
        </w:tc>
      </w:tr>
    </w:tbl>
    <w:p w:rsidR="00E87860" w:rsidRP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О результатах своей деятельности негосударственные пенсионные фонды регулярно отчитываются перед уполномоченным федеральным органом, представляя ему бухгалтерскую и специальную отчетность, как поквартально, так и по результатам года. Кроме того, фонды представляют ежемесячно оперативную отчетность. Здесь необходимо отметить, что в соответствии с требованиями 75-ФЗ «О негосударственных пенсионных фондах» Фонды ежегодно представляют аудиторское заключение (аудиторское заключение представляется фондом в уполномоченный федеральный орган не позднее 30 июня), а также результаты актуарного оценивания (актуарное заключение представляется фондом в уполномоченный федеральный орган не позднее 30 июля).</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Целью аудиторской проверки являются: достоверность финансовой (бухгалтерской) отчетности НПФ и соответствие порядка ведения бухгалтерского учета законодательству России. 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её данных делать правильные выводы о результатах хозяйственной деятельности, финансовом и имущественном положении фонда и принимать базирующиеся на этих выводах обоснованные решения.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lastRenderedPageBreak/>
        <w:t xml:space="preserve">     </w:t>
      </w:r>
      <w:proofErr w:type="gramStart"/>
      <w:r w:rsidRPr="00E87860">
        <w:rPr>
          <w:color w:val="000000" w:themeColor="text1"/>
          <w:sz w:val="24"/>
          <w:szCs w:val="24"/>
        </w:rPr>
        <w:t>Ежегодному аудиту подлежат ведение бухгалтерского учета, пенсионных счетов негосударственного пенсионного обеспечения и пенсионных счетов накопительной части трудовой пенсии</w:t>
      </w:r>
      <w:r w:rsidR="00116BF3">
        <w:rPr>
          <w:color w:val="000000" w:themeColor="text1"/>
          <w:sz w:val="24"/>
          <w:szCs w:val="24"/>
        </w:rPr>
        <w:t xml:space="preserve"> (с января 2015 года – накопительной пенсии)</w:t>
      </w:r>
      <w:r w:rsidRPr="00E87860">
        <w:rPr>
          <w:color w:val="000000" w:themeColor="text1"/>
          <w:sz w:val="24"/>
          <w:szCs w:val="24"/>
        </w:rPr>
        <w:t>, ведение бухгалтерской отчетности фондов, осуществление выплат негосударственных пенсий, выкупных сумм, накопительной части трудовых пенсий, выплат правопреемникам, а также ведение бухгалтерского учета и бухгалтерской отчетности управляющих компаний и специализированных депозитариев по формированию и размещению средств пенсионных резервов</w:t>
      </w:r>
      <w:proofErr w:type="gramEnd"/>
      <w:r w:rsidRPr="00E87860">
        <w:rPr>
          <w:color w:val="000000" w:themeColor="text1"/>
          <w:sz w:val="24"/>
          <w:szCs w:val="24"/>
        </w:rPr>
        <w:t xml:space="preserve"> и формированию, передаче и инвестированию средств пенсионных накоплений. Аудитор, осуществляющий проверку деятельности фонда, не может являться аффилированным лицом фонда, его управляющей компании (управляющих компаний) и специализированного депозитария.</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Деятельность НПФ представляет собой сложный хозяйственный механизм, поэтому для определения финансовой устойчивости данного института необходимо регулярно контролировать соотношение между обязательствами и резервами. Для данных целей служит актуарный баланс, выполняемый раз в год.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Актуарное заключение включает в себя результаты актуарного оценивания принятых фондом обязательств перед вкладчиками, участниками и застрахованными лицами, а также результаты оценивания актуарной стоимости средств пенсионных резервов и средств пенсионных накоплений. Целью актуарного оценивания является проверка баланса между имеющимся активами и принятыми фондом обязательствами перед вкладчиками, участниками и застрахованными лицами, а также расчет актуарной стоимости средств пенсионных накоплений.</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Актуарий, осуществляющий актуарное оценивание деятельности фонда, не может являться аффилированным лицом фонда, его управляющей компании (управляющих компаний) и специализированного депозитария. Требования к квалификации актуариев, осуществляющих актуарное оценивание деятельности фондов, устанавливаются в порядке, определенном уполномоченным Правительством Российской Федерации федеральным органом исполнительной власти.</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Ежегодно публикуемый фондами годовой отчет о своей деятельности с прилагаемыми заключениями аудитора и актуария даёт гражданину возможность дать объективную оценку тому или иному фонду.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В пределах своей </w:t>
      </w:r>
      <w:proofErr w:type="gramStart"/>
      <w:r w:rsidRPr="00E87860">
        <w:rPr>
          <w:color w:val="000000" w:themeColor="text1"/>
          <w:sz w:val="24"/>
          <w:szCs w:val="24"/>
        </w:rPr>
        <w:t>компетенции</w:t>
      </w:r>
      <w:proofErr w:type="gramEnd"/>
      <w:r w:rsidRPr="00E87860">
        <w:rPr>
          <w:color w:val="000000" w:themeColor="text1"/>
          <w:sz w:val="24"/>
          <w:szCs w:val="24"/>
        </w:rPr>
        <w:t xml:space="preserve"> уполномоченные федеральные органы требуют предоставления тех или иных форм отчетности. Так, Банк России в рамках своих полномочий следит за отчетностью фондов по негосударственному пенсионному обеспечению и обязательному пенсионному страхованию. Фонды осуществляют перевод </w:t>
      </w:r>
      <w:r w:rsidRPr="00E87860">
        <w:rPr>
          <w:color w:val="000000" w:themeColor="text1"/>
          <w:sz w:val="24"/>
          <w:szCs w:val="24"/>
        </w:rPr>
        <w:lastRenderedPageBreak/>
        <w:t xml:space="preserve">данной отчетности в базу данных ежемесячной и ежеквартальной отчетности НПФ, готовят аналитические и справочные материалы. На основании представленной фондами отчетности Банк России: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готовит предписания, запросы, ответы и уведомления НПФ по результатам проверки полноты и правильности составления представленной отчетности, рассматривает аудиторские и актуарные заключения на отчетность НПФ; </w:t>
      </w:r>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 контролирует представление и проводит анализ отчетности Управляющих компаний (УК), осуществляющих доверительное управление средствами пенсионных накоплений; УК, осуществляющих доверительное управление накоплениями для жилищного обеспечения военнослужащих; специализированных депозитариев, осуществляющих </w:t>
      </w:r>
      <w:proofErr w:type="gramStart"/>
      <w:r w:rsidRPr="00E87860">
        <w:rPr>
          <w:color w:val="000000" w:themeColor="text1"/>
          <w:sz w:val="24"/>
          <w:szCs w:val="24"/>
        </w:rPr>
        <w:t>контроль за</w:t>
      </w:r>
      <w:proofErr w:type="gramEnd"/>
      <w:r w:rsidRPr="00E87860">
        <w:rPr>
          <w:color w:val="000000" w:themeColor="text1"/>
          <w:sz w:val="24"/>
          <w:szCs w:val="24"/>
        </w:rPr>
        <w:t xml:space="preserve"> инвестированием средств пенсионных накоплений, и специализированного депозитария, осуществляющего контроль за инвестированием накоплений для жилищного обеспечения военнослужащих; </w:t>
      </w:r>
    </w:p>
    <w:p w:rsidR="00E87860" w:rsidRPr="00E87860" w:rsidRDefault="00E87860" w:rsidP="00E87860">
      <w:pPr>
        <w:pStyle w:val="af4"/>
        <w:spacing w:line="360" w:lineRule="auto"/>
        <w:ind w:firstLine="709"/>
        <w:rPr>
          <w:color w:val="000000" w:themeColor="text1"/>
          <w:sz w:val="24"/>
          <w:szCs w:val="24"/>
        </w:rPr>
      </w:pPr>
      <w:proofErr w:type="gramStart"/>
      <w:r w:rsidRPr="00E87860">
        <w:rPr>
          <w:color w:val="000000" w:themeColor="text1"/>
          <w:sz w:val="24"/>
          <w:szCs w:val="24"/>
        </w:rPr>
        <w:t>- обеспечивает формирование отчетности о средствах пенсионных накоплений и финансовых результатах их инвестирования, а также аудиторских заключений на отчетность субъектов отношений по формированию и инвестированию средств пенсионных накоплений в целях ежегодной публикации в средствах массовой информации и размещении на сайте в сети Банка России в сети Интернет в соответствии с требованиями законодательства России.</w:t>
      </w:r>
      <w:proofErr w:type="gramEnd"/>
    </w:p>
    <w:p w:rsidR="00E87860" w:rsidRPr="00E87860" w:rsidRDefault="00E87860" w:rsidP="00E87860">
      <w:pPr>
        <w:pStyle w:val="af4"/>
        <w:spacing w:line="360" w:lineRule="auto"/>
        <w:ind w:firstLine="709"/>
        <w:rPr>
          <w:color w:val="000000" w:themeColor="text1"/>
          <w:sz w:val="24"/>
          <w:szCs w:val="24"/>
        </w:rPr>
      </w:pPr>
      <w:r w:rsidRPr="00E87860">
        <w:rPr>
          <w:color w:val="000000" w:themeColor="text1"/>
          <w:sz w:val="24"/>
          <w:szCs w:val="24"/>
        </w:rPr>
        <w:t xml:space="preserve">Таким образом, можно заключить, что ни один финансовый институт страны не регулируется и не контролируется так многосторонне, как НПФ. </w:t>
      </w:r>
    </w:p>
    <w:p w:rsidR="00E87860" w:rsidRPr="00501882" w:rsidRDefault="00E87860" w:rsidP="00E87860">
      <w:pPr>
        <w:spacing w:after="0" w:line="360" w:lineRule="auto"/>
        <w:ind w:firstLine="709"/>
        <w:jc w:val="both"/>
        <w:rPr>
          <w:b/>
        </w:rPr>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center"/>
        <w:rPr>
          <w:rFonts w:ascii="Times New Roman" w:hAnsi="Times New Roman" w:cs="Times New Roman"/>
          <w:b/>
          <w:color w:val="000000" w:themeColor="text1"/>
          <w:sz w:val="28"/>
          <w:szCs w:val="28"/>
        </w:rPr>
      </w:pPr>
      <w:r w:rsidRPr="007734EE">
        <w:rPr>
          <w:rFonts w:ascii="Times New Roman" w:hAnsi="Times New Roman" w:cs="Times New Roman"/>
          <w:b/>
          <w:color w:val="000000" w:themeColor="text1"/>
          <w:sz w:val="28"/>
          <w:szCs w:val="28"/>
        </w:rPr>
        <w:lastRenderedPageBreak/>
        <w:t>Выбрать НПФ или остаться молчуном</w:t>
      </w:r>
    </w:p>
    <w:p w:rsidR="00E87860" w:rsidRDefault="00E87860" w:rsidP="00E87860">
      <w:pPr>
        <w:spacing w:after="0" w:line="360" w:lineRule="auto"/>
        <w:ind w:firstLine="709"/>
        <w:jc w:val="both"/>
        <w:rPr>
          <w:rFonts w:ascii="Times New Roman" w:hAnsi="Times New Roman" w:cs="Times New Roman"/>
          <w:b/>
          <w:color w:val="000000" w:themeColor="text1"/>
          <w:sz w:val="28"/>
          <w:szCs w:val="28"/>
        </w:rPr>
      </w:pPr>
    </w:p>
    <w:p w:rsidR="00E87860" w:rsidRDefault="00E87860" w:rsidP="00E87860">
      <w:pPr>
        <w:spacing w:after="0" w:line="360" w:lineRule="auto"/>
        <w:ind w:firstLine="709"/>
        <w:jc w:val="right"/>
        <w:rPr>
          <w:rFonts w:ascii="Times New Roman" w:hAnsi="Times New Roman" w:cs="Times New Roman"/>
          <w:b/>
          <w:color w:val="000000" w:themeColor="text1"/>
          <w:sz w:val="28"/>
          <w:szCs w:val="28"/>
        </w:rPr>
      </w:pPr>
    </w:p>
    <w:p w:rsidR="00E87860" w:rsidRDefault="00E87860" w:rsidP="00E87860">
      <w:pPr>
        <w:spacing w:after="0" w:line="360" w:lineRule="auto"/>
        <w:ind w:firstLine="709"/>
        <w:jc w:val="right"/>
        <w:rPr>
          <w:rFonts w:ascii="Times New Roman" w:hAnsi="Times New Roman" w:cs="Times New Roman"/>
          <w:b/>
          <w:i/>
          <w:color w:val="000000" w:themeColor="text1"/>
          <w:sz w:val="24"/>
          <w:szCs w:val="24"/>
        </w:rPr>
      </w:pPr>
      <w:r w:rsidRPr="003E570F">
        <w:rPr>
          <w:rFonts w:ascii="Times New Roman" w:hAnsi="Times New Roman" w:cs="Times New Roman"/>
          <w:b/>
          <w:i/>
          <w:color w:val="000000" w:themeColor="text1"/>
          <w:sz w:val="24"/>
          <w:szCs w:val="24"/>
        </w:rPr>
        <w:t>Карина Владимировна Артемьева</w:t>
      </w:r>
    </w:p>
    <w:p w:rsidR="00E87860" w:rsidRPr="003E570F" w:rsidRDefault="00E87860" w:rsidP="00E87860">
      <w:pPr>
        <w:spacing w:after="0" w:line="360" w:lineRule="auto"/>
        <w:ind w:firstLine="709"/>
        <w:jc w:val="right"/>
        <w:rPr>
          <w:rFonts w:ascii="Times New Roman" w:hAnsi="Times New Roman" w:cs="Times New Roman"/>
          <w:i/>
          <w:color w:val="000000" w:themeColor="text1"/>
          <w:sz w:val="24"/>
          <w:szCs w:val="24"/>
        </w:rPr>
      </w:pPr>
      <w:r w:rsidRPr="003E570F">
        <w:rPr>
          <w:rFonts w:ascii="Times New Roman" w:hAnsi="Times New Roman" w:cs="Times New Roman"/>
          <w:i/>
          <w:color w:val="000000" w:themeColor="text1"/>
          <w:sz w:val="24"/>
          <w:szCs w:val="24"/>
        </w:rPr>
        <w:t>Начальник аналитического управления</w:t>
      </w:r>
    </w:p>
    <w:p w:rsidR="00E87860" w:rsidRDefault="00E87860" w:rsidP="00E87860">
      <w:pPr>
        <w:spacing w:after="0" w:line="360" w:lineRule="auto"/>
        <w:ind w:firstLine="709"/>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Юдаева Дарья Владимировна</w:t>
      </w:r>
    </w:p>
    <w:p w:rsidR="00E87860" w:rsidRPr="003E570F" w:rsidRDefault="00E87860" w:rsidP="00E87860">
      <w:pPr>
        <w:spacing w:after="0" w:line="360" w:lineRule="auto"/>
        <w:ind w:firstLine="709"/>
        <w:jc w:val="right"/>
        <w:rPr>
          <w:rFonts w:ascii="Times New Roman" w:hAnsi="Times New Roman" w:cs="Times New Roman"/>
          <w:i/>
          <w:color w:val="000000" w:themeColor="text1"/>
          <w:sz w:val="24"/>
          <w:szCs w:val="24"/>
        </w:rPr>
      </w:pPr>
      <w:r w:rsidRPr="003E570F">
        <w:rPr>
          <w:rFonts w:ascii="Times New Roman" w:hAnsi="Times New Roman" w:cs="Times New Roman"/>
          <w:i/>
          <w:color w:val="000000" w:themeColor="text1"/>
          <w:sz w:val="24"/>
          <w:szCs w:val="24"/>
        </w:rPr>
        <w:t>Аналитик</w:t>
      </w:r>
    </w:p>
    <w:p w:rsidR="00E87860" w:rsidRPr="002E6964" w:rsidRDefault="00E87860" w:rsidP="00E87860">
      <w:pPr>
        <w:spacing w:after="0" w:line="360" w:lineRule="auto"/>
        <w:ind w:firstLine="709"/>
        <w:jc w:val="right"/>
        <w:rPr>
          <w:rFonts w:ascii="Times New Roman" w:hAnsi="Times New Roman" w:cs="Times New Roman"/>
          <w:b/>
          <w:i/>
          <w:color w:val="000000" w:themeColor="text1"/>
          <w:sz w:val="24"/>
          <w:szCs w:val="24"/>
        </w:rPr>
      </w:pPr>
      <w:r w:rsidRPr="002E6964">
        <w:rPr>
          <w:rFonts w:ascii="Times New Roman" w:hAnsi="Times New Roman" w:cs="Times New Roman"/>
          <w:b/>
          <w:i/>
          <w:color w:val="000000" w:themeColor="text1"/>
          <w:sz w:val="24"/>
          <w:szCs w:val="24"/>
        </w:rPr>
        <w:t>Национальное рейтинговое агентство</w:t>
      </w:r>
    </w:p>
    <w:p w:rsidR="00E87860" w:rsidRDefault="00E87860" w:rsidP="00E87860">
      <w:pPr>
        <w:spacing w:after="0" w:line="360" w:lineRule="auto"/>
        <w:ind w:firstLine="709"/>
        <w:jc w:val="both"/>
        <w:rPr>
          <w:rFonts w:ascii="Times New Roman" w:hAnsi="Times New Roman" w:cs="Times New Roman"/>
          <w:b/>
          <w:color w:val="1F497D"/>
          <w:sz w:val="24"/>
          <w:szCs w:val="24"/>
        </w:rPr>
      </w:pPr>
    </w:p>
    <w:p w:rsidR="00E87860" w:rsidRDefault="00E87860" w:rsidP="00E87860">
      <w:pPr>
        <w:spacing w:after="0" w:line="360" w:lineRule="auto"/>
        <w:ind w:firstLine="709"/>
        <w:jc w:val="both"/>
        <w:rPr>
          <w:rFonts w:ascii="Times New Roman" w:hAnsi="Times New Roman" w:cs="Times New Roman"/>
          <w:b/>
          <w:color w:val="1F497D"/>
          <w:sz w:val="24"/>
          <w:szCs w:val="24"/>
        </w:rPr>
      </w:pPr>
    </w:p>
    <w:p w:rsidR="00E87860" w:rsidRPr="007734EE" w:rsidRDefault="00E87860" w:rsidP="00E87860">
      <w:pPr>
        <w:spacing w:after="0" w:line="360" w:lineRule="auto"/>
        <w:ind w:firstLine="709"/>
        <w:jc w:val="both"/>
        <w:rPr>
          <w:rFonts w:ascii="Times New Roman" w:hAnsi="Times New Roman" w:cs="Times New Roman"/>
          <w:b/>
          <w:color w:val="1F497D"/>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Второй год подряд не прекращается публичное обсуждение пенсионной реформы. Новости о тех или иных изменениях относительно наших с вами будущих пенсионных выплат появляются на экранах телевизоров и страницах газет чуть ли не в ежедневном режиме. Все это привело к тому, что о пенсионной реформе уже давно говорят не только ответственные </w:t>
      </w:r>
      <w:r>
        <w:rPr>
          <w:rFonts w:ascii="Times New Roman" w:hAnsi="Times New Roman" w:cs="Times New Roman"/>
          <w:sz w:val="24"/>
          <w:szCs w:val="24"/>
        </w:rPr>
        <w:t>чиновники и профильные эксперты,</w:t>
      </w:r>
      <w:r w:rsidRPr="007734EE">
        <w:rPr>
          <w:rFonts w:ascii="Times New Roman" w:hAnsi="Times New Roman" w:cs="Times New Roman"/>
          <w:sz w:val="24"/>
          <w:szCs w:val="24"/>
        </w:rPr>
        <w:t xml:space="preserve"> а все больше простые граждане. Их растущий интерес, граничащий с  тревогой, понятен – люди хотят знать, </w:t>
      </w:r>
      <w:r>
        <w:rPr>
          <w:rFonts w:ascii="Times New Roman" w:hAnsi="Times New Roman" w:cs="Times New Roman"/>
          <w:sz w:val="24"/>
          <w:szCs w:val="24"/>
        </w:rPr>
        <w:t xml:space="preserve">на </w:t>
      </w:r>
      <w:r w:rsidRPr="007734EE">
        <w:rPr>
          <w:rFonts w:ascii="Times New Roman" w:hAnsi="Times New Roman" w:cs="Times New Roman"/>
          <w:sz w:val="24"/>
          <w:szCs w:val="24"/>
        </w:rPr>
        <w:t xml:space="preserve">что они могут рассчитывать в тот момент, когда достигнут определенного возраста, перестанут трудиться и станут пенсионерами. Почему с тревогой? Наверное, в </w:t>
      </w:r>
      <w:r w:rsidRPr="00715431">
        <w:rPr>
          <w:rFonts w:ascii="Times New Roman" w:hAnsi="Times New Roman" w:cs="Times New Roman"/>
          <w:color w:val="000000" w:themeColor="text1"/>
          <w:sz w:val="24"/>
          <w:szCs w:val="24"/>
        </w:rPr>
        <w:t>первую очередь оттого, что многие прекрасно помнят события 10-летней давности, когда та самая реформа пенсионного обеспечения, которую сегодня так критикуют, пришла в нашу жизнь. Действительно, казалось бы – пенсионная тема по определению предполагает продолжительность во времени и стабильность в принятии решений и правил игры – правил, которые устанавливает для всех нас – потенциальных</w:t>
      </w:r>
      <w:r w:rsidRPr="007734EE">
        <w:rPr>
          <w:rFonts w:ascii="Times New Roman" w:hAnsi="Times New Roman" w:cs="Times New Roman"/>
          <w:sz w:val="24"/>
          <w:szCs w:val="24"/>
        </w:rPr>
        <w:t xml:space="preserve"> в будущем пенсионеров – государство. Однако изменений не избежать, и основной вопрос, который стоит сейчас перед гражданами 1967 года рождения и моложе</w:t>
      </w:r>
      <w:r>
        <w:rPr>
          <w:rFonts w:ascii="Times New Roman" w:hAnsi="Times New Roman" w:cs="Times New Roman"/>
          <w:sz w:val="24"/>
          <w:szCs w:val="24"/>
        </w:rPr>
        <w:t>,</w:t>
      </w:r>
      <w:r w:rsidRPr="007734EE">
        <w:rPr>
          <w:rFonts w:ascii="Times New Roman" w:hAnsi="Times New Roman" w:cs="Times New Roman"/>
          <w:sz w:val="24"/>
          <w:szCs w:val="24"/>
        </w:rPr>
        <w:t xml:space="preserve"> – выбрать НПФ или остаться «молчуном». </w:t>
      </w: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Кто такие «молчуны»? Это те из нас (не забываем про условие – 1967 год рождения и позже), кто имеет право на так называемый накопительный компонент. Наш работодатель платит за нас с вами определенный налог, из них 14% идут на выплату нынешним пенсионерам, а 6% идет на наш личный накопительный счет. До </w:t>
      </w:r>
      <w:r>
        <w:rPr>
          <w:rFonts w:ascii="Times New Roman" w:hAnsi="Times New Roman" w:cs="Times New Roman"/>
          <w:sz w:val="24"/>
          <w:szCs w:val="24"/>
        </w:rPr>
        <w:t>сих пор</w:t>
      </w:r>
      <w:r w:rsidRPr="007734EE">
        <w:rPr>
          <w:rFonts w:ascii="Times New Roman" w:hAnsi="Times New Roman" w:cs="Times New Roman"/>
          <w:sz w:val="24"/>
          <w:szCs w:val="24"/>
        </w:rPr>
        <w:t xml:space="preserve"> просто сам факт года рождения определял наше право иметь эти 6% накоплений, но сейчас правила меняются. Если не сделать выбор и не заявить о своем желании сохранить </w:t>
      </w:r>
      <w:r w:rsidRPr="007734EE">
        <w:rPr>
          <w:rFonts w:ascii="Times New Roman" w:hAnsi="Times New Roman" w:cs="Times New Roman"/>
          <w:sz w:val="24"/>
          <w:szCs w:val="24"/>
        </w:rPr>
        <w:lastRenderedPageBreak/>
        <w:t>6%  – отчисления работодателей будут уходить не на наш личный накопительный счет, а в Пенсионный фонд</w:t>
      </w:r>
      <w:r w:rsidR="00116BF3">
        <w:rPr>
          <w:rFonts w:ascii="Times New Roman" w:hAnsi="Times New Roman" w:cs="Times New Roman"/>
          <w:sz w:val="24"/>
          <w:szCs w:val="24"/>
        </w:rPr>
        <w:t xml:space="preserve"> Российской Федерации</w:t>
      </w:r>
      <w:r w:rsidRPr="007734EE">
        <w:rPr>
          <w:rFonts w:ascii="Times New Roman" w:hAnsi="Times New Roman" w:cs="Times New Roman"/>
          <w:sz w:val="24"/>
          <w:szCs w:val="24"/>
        </w:rPr>
        <w:t xml:space="preserve">. </w:t>
      </w: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Здесь надо постараться понять плюсы и минусы двух вариантов. В первом случае, оставаясь «молчунами», мы в полной мере перекладываем ответственность за свою будущую пенсию на государство. Мы отдаем себе отчет, что наша пенсия напрямую будет зависеть от экономической ситуации в стране, от количества работоспособных граждан, выплачивающих взносы на содержание пенсионеров. Тем более</w:t>
      </w:r>
      <w:proofErr w:type="gramStart"/>
      <w:r w:rsidRPr="007734EE">
        <w:rPr>
          <w:rFonts w:ascii="Times New Roman" w:hAnsi="Times New Roman" w:cs="Times New Roman"/>
          <w:sz w:val="24"/>
          <w:szCs w:val="24"/>
        </w:rPr>
        <w:t>,</w:t>
      </w:r>
      <w:proofErr w:type="gramEnd"/>
      <w:r w:rsidRPr="007734EE">
        <w:rPr>
          <w:rFonts w:ascii="Times New Roman" w:hAnsi="Times New Roman" w:cs="Times New Roman"/>
          <w:sz w:val="24"/>
          <w:szCs w:val="24"/>
        </w:rPr>
        <w:t xml:space="preserve"> что новая пенсионная формула учитывает обязательства государства перед будущими пенсионерами не в рублях, а в баллах, и стоимость этих балов в тот или иной год будет зависеть от так называемых «объективных условий операционной среды». Будет расти рождаемость, успешно развиваться экономика – баллы будут стоить дороже, пенсия будет выше. Будет </w:t>
      </w:r>
      <w:proofErr w:type="gramStart"/>
      <w:r w:rsidRPr="007734EE">
        <w:rPr>
          <w:rFonts w:ascii="Times New Roman" w:hAnsi="Times New Roman" w:cs="Times New Roman"/>
          <w:sz w:val="24"/>
          <w:szCs w:val="24"/>
        </w:rPr>
        <w:t>снижаться число</w:t>
      </w:r>
      <w:proofErr w:type="gramEnd"/>
      <w:r w:rsidRPr="007734EE">
        <w:rPr>
          <w:rFonts w:ascii="Times New Roman" w:hAnsi="Times New Roman" w:cs="Times New Roman"/>
          <w:sz w:val="24"/>
          <w:szCs w:val="24"/>
        </w:rPr>
        <w:t xml:space="preserve"> работающих граждан (число молодых относительно числа пенсионеров), с которых государство собирает налоги на выплату пенсий</w:t>
      </w:r>
      <w:r>
        <w:rPr>
          <w:rFonts w:ascii="Times New Roman" w:hAnsi="Times New Roman" w:cs="Times New Roman"/>
          <w:sz w:val="24"/>
          <w:szCs w:val="24"/>
        </w:rPr>
        <w:t>,</w:t>
      </w:r>
      <w:r w:rsidRPr="007734EE">
        <w:rPr>
          <w:rFonts w:ascii="Times New Roman" w:hAnsi="Times New Roman" w:cs="Times New Roman"/>
          <w:sz w:val="24"/>
          <w:szCs w:val="24"/>
        </w:rPr>
        <w:t xml:space="preserve"> – снизится и пенсия.</w:t>
      </w:r>
    </w:p>
    <w:p w:rsidR="00E87860" w:rsidRPr="00715431" w:rsidRDefault="00E87860" w:rsidP="00E87860">
      <w:pPr>
        <w:spacing w:after="0" w:line="360" w:lineRule="auto"/>
        <w:ind w:firstLine="709"/>
        <w:jc w:val="both"/>
        <w:rPr>
          <w:rFonts w:ascii="Times New Roman" w:hAnsi="Times New Roman" w:cs="Times New Roman"/>
          <w:color w:val="000000" w:themeColor="text1"/>
          <w:sz w:val="24"/>
          <w:szCs w:val="24"/>
        </w:rPr>
      </w:pPr>
      <w:proofErr w:type="gramStart"/>
      <w:r w:rsidRPr="007734EE">
        <w:rPr>
          <w:rFonts w:ascii="Times New Roman" w:hAnsi="Times New Roman" w:cs="Times New Roman"/>
          <w:sz w:val="24"/>
          <w:szCs w:val="24"/>
        </w:rPr>
        <w:t>Во втором случае мы говорим: «я не хочу оставаться молчуном», я хочу хотя бы частично нести ответственность за свою будущую пенсию, я понимаю</w:t>
      </w:r>
      <w:r>
        <w:rPr>
          <w:rFonts w:ascii="Times New Roman" w:hAnsi="Times New Roman" w:cs="Times New Roman"/>
          <w:sz w:val="24"/>
          <w:szCs w:val="24"/>
        </w:rPr>
        <w:t>,</w:t>
      </w:r>
      <w:r w:rsidRPr="007734EE">
        <w:rPr>
          <w:rFonts w:ascii="Times New Roman" w:hAnsi="Times New Roman" w:cs="Times New Roman"/>
          <w:sz w:val="24"/>
          <w:szCs w:val="24"/>
        </w:rPr>
        <w:t xml:space="preserve"> что надо попытаться эту ответственность разделить с государством (вспоминается знаменитая фраза риск-менеджеров:</w:t>
      </w:r>
      <w:proofErr w:type="gramEnd"/>
      <w:r w:rsidRPr="007734EE">
        <w:rPr>
          <w:rFonts w:ascii="Times New Roman" w:hAnsi="Times New Roman" w:cs="Times New Roman"/>
          <w:sz w:val="24"/>
          <w:szCs w:val="24"/>
        </w:rPr>
        <w:t xml:space="preserve">  </w:t>
      </w:r>
      <w:proofErr w:type="gramStart"/>
      <w:r w:rsidRPr="007734EE">
        <w:rPr>
          <w:rFonts w:ascii="Times New Roman" w:hAnsi="Times New Roman" w:cs="Times New Roman"/>
          <w:sz w:val="24"/>
          <w:szCs w:val="24"/>
        </w:rPr>
        <w:t>«Нельзя все яйца складывать в одну корзину»).</w:t>
      </w:r>
      <w:proofErr w:type="gramEnd"/>
      <w:r w:rsidRPr="007734EE">
        <w:rPr>
          <w:rFonts w:ascii="Times New Roman" w:hAnsi="Times New Roman" w:cs="Times New Roman"/>
          <w:sz w:val="24"/>
          <w:szCs w:val="24"/>
        </w:rPr>
        <w:t xml:space="preserve">  Для данных целей существуют  </w:t>
      </w:r>
      <w:r w:rsidR="00116BF3">
        <w:rPr>
          <w:rFonts w:ascii="Times New Roman" w:hAnsi="Times New Roman" w:cs="Times New Roman"/>
          <w:sz w:val="24"/>
          <w:szCs w:val="24"/>
        </w:rPr>
        <w:t>н</w:t>
      </w:r>
      <w:r w:rsidRPr="007734EE">
        <w:rPr>
          <w:rFonts w:ascii="Times New Roman" w:hAnsi="Times New Roman" w:cs="Times New Roman"/>
          <w:sz w:val="24"/>
          <w:szCs w:val="24"/>
        </w:rPr>
        <w:t xml:space="preserve">егосударственные </w:t>
      </w:r>
      <w:r w:rsidR="00116BF3">
        <w:rPr>
          <w:rFonts w:ascii="Times New Roman" w:hAnsi="Times New Roman" w:cs="Times New Roman"/>
          <w:sz w:val="24"/>
          <w:szCs w:val="24"/>
        </w:rPr>
        <w:t>п</w:t>
      </w:r>
      <w:r w:rsidRPr="007734EE">
        <w:rPr>
          <w:rFonts w:ascii="Times New Roman" w:hAnsi="Times New Roman" w:cs="Times New Roman"/>
          <w:sz w:val="24"/>
          <w:szCs w:val="24"/>
        </w:rPr>
        <w:t xml:space="preserve">енсионные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онды (НПФ), которые специально созданы для того, чтобы этой небольшой 6%-ной частью управлять. Государство устанавливает для НПФ достаточно жесткие правила, которым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онды должны соответствовать.  Таким образом, необходимо выбрать </w:t>
      </w:r>
      <w:proofErr w:type="gramStart"/>
      <w:r w:rsidRPr="007734EE">
        <w:rPr>
          <w:rFonts w:ascii="Times New Roman" w:hAnsi="Times New Roman" w:cs="Times New Roman"/>
          <w:sz w:val="24"/>
          <w:szCs w:val="24"/>
        </w:rPr>
        <w:t>надежный</w:t>
      </w:r>
      <w:proofErr w:type="gramEnd"/>
      <w:r w:rsidRPr="007734EE">
        <w:rPr>
          <w:rFonts w:ascii="Times New Roman" w:hAnsi="Times New Roman" w:cs="Times New Roman"/>
          <w:sz w:val="24"/>
          <w:szCs w:val="24"/>
        </w:rPr>
        <w:t xml:space="preserve"> </w:t>
      </w:r>
      <w:r w:rsidR="00116BF3">
        <w:rPr>
          <w:rFonts w:ascii="Times New Roman" w:hAnsi="Times New Roman" w:cs="Times New Roman"/>
          <w:sz w:val="24"/>
          <w:szCs w:val="24"/>
        </w:rPr>
        <w:t>НПФ</w:t>
      </w:r>
      <w:r w:rsidRPr="007734EE">
        <w:rPr>
          <w:rFonts w:ascii="Times New Roman" w:hAnsi="Times New Roman" w:cs="Times New Roman"/>
          <w:sz w:val="24"/>
          <w:szCs w:val="24"/>
        </w:rPr>
        <w:t>, которому мы считаем возможным доверить свои деньги (сохранение, размещение этих денег так, чтобы они не только сберегались, но и прирастали – ведь цены, инфляция, растут ежегодно!). Более того, сохраненные 6% - это деньги, которые мы имеем право передать по наследству, накопленная сумма фиксируется на нашем личном счете.  А то, что с каждым годом все больше «молчунов» осознанно делают выбор в пользу сохранения своей 6%-ной компоненты</w:t>
      </w:r>
      <w:r>
        <w:rPr>
          <w:rFonts w:ascii="Times New Roman" w:hAnsi="Times New Roman" w:cs="Times New Roman"/>
          <w:sz w:val="24"/>
          <w:szCs w:val="24"/>
        </w:rPr>
        <w:t>,</w:t>
      </w:r>
      <w:r w:rsidRPr="007734EE">
        <w:rPr>
          <w:rFonts w:ascii="Times New Roman" w:hAnsi="Times New Roman" w:cs="Times New Roman"/>
          <w:sz w:val="24"/>
          <w:szCs w:val="24"/>
        </w:rPr>
        <w:t xml:space="preserve"> – подтвержденный статистикой факт</w:t>
      </w:r>
      <w:r>
        <w:rPr>
          <w:rFonts w:ascii="Times New Roman" w:hAnsi="Times New Roman" w:cs="Times New Roman"/>
          <w:sz w:val="24"/>
          <w:szCs w:val="24"/>
        </w:rPr>
        <w:t xml:space="preserve"> </w:t>
      </w:r>
      <w:r w:rsidRPr="00715431">
        <w:rPr>
          <w:rFonts w:ascii="Times New Roman" w:hAnsi="Times New Roman" w:cs="Times New Roman"/>
          <w:color w:val="000000" w:themeColor="text1"/>
          <w:sz w:val="24"/>
          <w:szCs w:val="24"/>
        </w:rPr>
        <w:t>(</w:t>
      </w:r>
      <w:proofErr w:type="spellStart"/>
      <w:r w:rsidRPr="00715431">
        <w:rPr>
          <w:rFonts w:ascii="Times New Roman" w:hAnsi="Times New Roman" w:cs="Times New Roman"/>
          <w:color w:val="000000" w:themeColor="text1"/>
          <w:sz w:val="24"/>
          <w:szCs w:val="24"/>
        </w:rPr>
        <w:t>см</w:t>
      </w:r>
      <w:proofErr w:type="gramStart"/>
      <w:r w:rsidRPr="00715431">
        <w:rPr>
          <w:rFonts w:ascii="Times New Roman" w:hAnsi="Times New Roman" w:cs="Times New Roman"/>
          <w:color w:val="000000" w:themeColor="text1"/>
          <w:sz w:val="24"/>
          <w:szCs w:val="24"/>
        </w:rPr>
        <w:t>.Т</w:t>
      </w:r>
      <w:proofErr w:type="gramEnd"/>
      <w:r w:rsidRPr="00715431">
        <w:rPr>
          <w:rFonts w:ascii="Times New Roman" w:hAnsi="Times New Roman" w:cs="Times New Roman"/>
          <w:color w:val="000000" w:themeColor="text1"/>
          <w:sz w:val="24"/>
          <w:szCs w:val="24"/>
        </w:rPr>
        <w:t>аблицу</w:t>
      </w:r>
      <w:proofErr w:type="spellEnd"/>
      <w:r w:rsidRPr="00715431">
        <w:rPr>
          <w:rFonts w:ascii="Times New Roman" w:hAnsi="Times New Roman" w:cs="Times New Roman"/>
          <w:color w:val="000000" w:themeColor="text1"/>
          <w:sz w:val="24"/>
          <w:szCs w:val="24"/>
        </w:rPr>
        <w:t xml:space="preserve"> 1). </w:t>
      </w:r>
    </w:p>
    <w:p w:rsid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Default="00E87860" w:rsidP="00E87860">
      <w:pPr>
        <w:spacing w:after="0" w:line="360" w:lineRule="auto"/>
        <w:ind w:firstLine="709"/>
        <w:jc w:val="both"/>
        <w:rPr>
          <w:rFonts w:ascii="Times New Roman" w:hAnsi="Times New Roman" w:cs="Times New Roman"/>
          <w:color w:val="000000" w:themeColor="text1"/>
          <w:sz w:val="24"/>
          <w:szCs w:val="24"/>
        </w:rPr>
      </w:pPr>
    </w:p>
    <w:p w:rsidR="00E87860" w:rsidRPr="00E87860" w:rsidRDefault="00E87860" w:rsidP="00E87860">
      <w:pPr>
        <w:spacing w:after="0" w:line="360" w:lineRule="auto"/>
        <w:ind w:firstLine="709"/>
        <w:jc w:val="both"/>
        <w:rPr>
          <w:rFonts w:ascii="Times New Roman" w:hAnsi="Times New Roman" w:cs="Times New Roman"/>
          <w:b/>
          <w:color w:val="000000" w:themeColor="text1"/>
          <w:sz w:val="24"/>
          <w:szCs w:val="24"/>
        </w:rPr>
      </w:pPr>
      <w:r w:rsidRPr="00E87860">
        <w:rPr>
          <w:rFonts w:ascii="Times New Roman" w:hAnsi="Times New Roman" w:cs="Times New Roman"/>
          <w:b/>
          <w:color w:val="000000" w:themeColor="text1"/>
          <w:sz w:val="24"/>
          <w:szCs w:val="24"/>
        </w:rPr>
        <w:t>Таблица 1</w:t>
      </w:r>
      <w:r>
        <w:rPr>
          <w:rFonts w:ascii="Times New Roman" w:hAnsi="Times New Roman" w:cs="Times New Roman"/>
          <w:b/>
          <w:color w:val="000000" w:themeColor="text1"/>
          <w:sz w:val="24"/>
          <w:szCs w:val="24"/>
        </w:rPr>
        <w:t>.</w:t>
      </w: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noProof/>
          <w:sz w:val="24"/>
          <w:szCs w:val="24"/>
          <w:lang w:eastAsia="ru-RU"/>
        </w:rPr>
        <w:lastRenderedPageBreak/>
        <w:drawing>
          <wp:inline distT="0" distB="0" distL="0" distR="0" wp14:anchorId="756EFC80" wp14:editId="3DD9B828">
            <wp:extent cx="6152515" cy="2628900"/>
            <wp:effectExtent l="19050" t="0" r="1968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7860"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Итак, предположим, решение принято – </w:t>
      </w:r>
      <w:r w:rsidR="00116BF3">
        <w:rPr>
          <w:rFonts w:ascii="Times New Roman" w:hAnsi="Times New Roman" w:cs="Times New Roman"/>
          <w:sz w:val="24"/>
          <w:szCs w:val="24"/>
        </w:rPr>
        <w:t>подаем</w:t>
      </w:r>
      <w:r w:rsidRPr="007734EE">
        <w:rPr>
          <w:rFonts w:ascii="Times New Roman" w:hAnsi="Times New Roman" w:cs="Times New Roman"/>
          <w:sz w:val="24"/>
          <w:szCs w:val="24"/>
        </w:rPr>
        <w:t xml:space="preserve"> заявление</w:t>
      </w:r>
      <w:r w:rsidR="00116BF3">
        <w:rPr>
          <w:rFonts w:ascii="Times New Roman" w:hAnsi="Times New Roman" w:cs="Times New Roman"/>
          <w:sz w:val="24"/>
          <w:szCs w:val="24"/>
        </w:rPr>
        <w:t xml:space="preserve"> о переходе в негосударственный пенсионный фонд.</w:t>
      </w:r>
      <w:r w:rsidRPr="007734EE">
        <w:rPr>
          <w:rFonts w:ascii="Times New Roman" w:hAnsi="Times New Roman" w:cs="Times New Roman"/>
          <w:sz w:val="24"/>
          <w:szCs w:val="24"/>
        </w:rPr>
        <w:t xml:space="preserve"> Самый важный </w:t>
      </w:r>
      <w:proofErr w:type="gramStart"/>
      <w:r w:rsidRPr="007734EE">
        <w:rPr>
          <w:rFonts w:ascii="Times New Roman" w:hAnsi="Times New Roman" w:cs="Times New Roman"/>
          <w:sz w:val="24"/>
          <w:szCs w:val="24"/>
        </w:rPr>
        <w:t>вопрос</w:t>
      </w:r>
      <w:proofErr w:type="gramEnd"/>
      <w:r w:rsidRPr="007734EE">
        <w:rPr>
          <w:rFonts w:ascii="Times New Roman" w:hAnsi="Times New Roman" w:cs="Times New Roman"/>
          <w:sz w:val="24"/>
          <w:szCs w:val="24"/>
        </w:rPr>
        <w:t xml:space="preserve"> – какому </w:t>
      </w:r>
      <w:r w:rsidR="00116BF3">
        <w:rPr>
          <w:rFonts w:ascii="Times New Roman" w:hAnsi="Times New Roman" w:cs="Times New Roman"/>
          <w:sz w:val="24"/>
          <w:szCs w:val="24"/>
        </w:rPr>
        <w:t>ф</w:t>
      </w:r>
      <w:r w:rsidRPr="007734EE">
        <w:rPr>
          <w:rFonts w:ascii="Times New Roman" w:hAnsi="Times New Roman" w:cs="Times New Roman"/>
          <w:sz w:val="24"/>
          <w:szCs w:val="24"/>
        </w:rPr>
        <w:t>онду можно доверять, кого считать надежным? Здесь примерно то же, что и с выбором банка</w:t>
      </w:r>
      <w:r>
        <w:rPr>
          <w:rFonts w:ascii="Times New Roman" w:hAnsi="Times New Roman" w:cs="Times New Roman"/>
          <w:sz w:val="24"/>
          <w:szCs w:val="24"/>
        </w:rPr>
        <w:t xml:space="preserve">, в котором собираемся </w:t>
      </w:r>
      <w:proofErr w:type="gramStart"/>
      <w:r>
        <w:rPr>
          <w:rFonts w:ascii="Times New Roman" w:hAnsi="Times New Roman" w:cs="Times New Roman"/>
          <w:sz w:val="24"/>
          <w:szCs w:val="24"/>
        </w:rPr>
        <w:t>разместить вклад</w:t>
      </w:r>
      <w:proofErr w:type="gramEnd"/>
      <w:r>
        <w:rPr>
          <w:rFonts w:ascii="Times New Roman" w:hAnsi="Times New Roman" w:cs="Times New Roman"/>
          <w:sz w:val="24"/>
          <w:szCs w:val="24"/>
        </w:rPr>
        <w:t>: можно ли ему доверять свои сбережения?</w:t>
      </w:r>
      <w:r w:rsidRPr="007734EE">
        <w:rPr>
          <w:rFonts w:ascii="Times New Roman" w:hAnsi="Times New Roman" w:cs="Times New Roman"/>
          <w:sz w:val="24"/>
          <w:szCs w:val="24"/>
        </w:rPr>
        <w:t xml:space="preserve"> </w:t>
      </w:r>
    </w:p>
    <w:p w:rsidR="00E87860"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Решая вопрос о </w:t>
      </w:r>
      <w:r>
        <w:rPr>
          <w:rFonts w:ascii="Times New Roman" w:hAnsi="Times New Roman" w:cs="Times New Roman"/>
          <w:sz w:val="24"/>
          <w:szCs w:val="24"/>
        </w:rPr>
        <w:t>надежности НПФ</w:t>
      </w:r>
      <w:r w:rsidRPr="007734EE">
        <w:rPr>
          <w:rFonts w:ascii="Times New Roman" w:hAnsi="Times New Roman" w:cs="Times New Roman"/>
          <w:sz w:val="24"/>
          <w:szCs w:val="24"/>
        </w:rPr>
        <w:t xml:space="preserve">, </w:t>
      </w:r>
      <w:r>
        <w:rPr>
          <w:rFonts w:ascii="Times New Roman" w:hAnsi="Times New Roman" w:cs="Times New Roman"/>
          <w:sz w:val="24"/>
          <w:szCs w:val="24"/>
        </w:rPr>
        <w:t>необходимо</w:t>
      </w:r>
      <w:r w:rsidRPr="007734EE">
        <w:rPr>
          <w:rFonts w:ascii="Times New Roman" w:hAnsi="Times New Roman" w:cs="Times New Roman"/>
          <w:sz w:val="24"/>
          <w:szCs w:val="24"/>
        </w:rPr>
        <w:t xml:space="preserve"> </w:t>
      </w:r>
      <w:r w:rsidRPr="00715431">
        <w:rPr>
          <w:rFonts w:ascii="Times New Roman" w:hAnsi="Times New Roman" w:cs="Times New Roman"/>
          <w:color w:val="000000" w:themeColor="text1"/>
          <w:sz w:val="24"/>
          <w:szCs w:val="24"/>
        </w:rPr>
        <w:t>«полазить» в</w:t>
      </w:r>
      <w:r w:rsidRPr="007734EE">
        <w:rPr>
          <w:rFonts w:ascii="Times New Roman" w:hAnsi="Times New Roman" w:cs="Times New Roman"/>
          <w:sz w:val="24"/>
          <w:szCs w:val="24"/>
        </w:rPr>
        <w:t xml:space="preserve"> интернете, сравнить тот или иной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 с точки зрения его размера (какова его клиентская база, доля рынка); как он представлен в разных регионах нашей большой страны (территориальный охват); как давно он работает на рынке; кто его собственники. Для этого существует масса информационных ресурсов, в том числе </w:t>
      </w:r>
      <w:proofErr w:type="spellStart"/>
      <w:r w:rsidRPr="007734EE">
        <w:rPr>
          <w:rFonts w:ascii="Times New Roman" w:hAnsi="Times New Roman" w:cs="Times New Roman"/>
          <w:sz w:val="24"/>
          <w:szCs w:val="24"/>
        </w:rPr>
        <w:t>рэнкинги</w:t>
      </w:r>
      <w:proofErr w:type="spellEnd"/>
      <w:r w:rsidRPr="007734EE">
        <w:rPr>
          <w:rFonts w:ascii="Times New Roman" w:hAnsi="Times New Roman" w:cs="Times New Roman"/>
          <w:sz w:val="24"/>
          <w:szCs w:val="24"/>
        </w:rPr>
        <w:t>, составляемые Национальным Рейтинговым Агентством на основе официальной отчетности. Ниже, для примера, приведем 10-ку крупнейших НПФ по количеству застрахованных лиц (данные по итогам 2 квартала 2013 года).</w:t>
      </w:r>
    </w:p>
    <w:p w:rsidR="00E87860" w:rsidRPr="007734EE"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noProof/>
          <w:sz w:val="24"/>
          <w:szCs w:val="24"/>
          <w:lang w:eastAsia="ru-RU"/>
        </w:rPr>
        <w:drawing>
          <wp:inline distT="0" distB="0" distL="0" distR="0" wp14:anchorId="647AA188" wp14:editId="4F93D7CA">
            <wp:extent cx="6334125" cy="1733550"/>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334125" cy="1733550"/>
                    </a:xfrm>
                    <a:prstGeom prst="rect">
                      <a:avLst/>
                    </a:prstGeom>
                    <a:noFill/>
                    <a:ln w="9525">
                      <a:noFill/>
                      <a:miter lim="800000"/>
                      <a:headEnd/>
                      <a:tailEnd/>
                    </a:ln>
                  </pic:spPr>
                </pic:pic>
              </a:graphicData>
            </a:graphic>
          </wp:inline>
        </w:drawing>
      </w:r>
    </w:p>
    <w:p w:rsidR="00E87860" w:rsidRDefault="00E87860" w:rsidP="00E87860">
      <w:pPr>
        <w:spacing w:after="0" w:line="360" w:lineRule="auto"/>
        <w:ind w:firstLine="709"/>
        <w:jc w:val="both"/>
        <w:rPr>
          <w:rFonts w:ascii="Times New Roman" w:hAnsi="Times New Roman" w:cs="Times New Roman"/>
          <w:sz w:val="24"/>
          <w:szCs w:val="24"/>
        </w:rPr>
      </w:pPr>
    </w:p>
    <w:p w:rsidR="00E87860"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Однако это не все факторы, которые определяют надежность того или иного НПФ. Есть масса профессиональных вещей, о которых сложно иметь представление обычному </w:t>
      </w:r>
      <w:r w:rsidRPr="007734EE">
        <w:rPr>
          <w:rFonts w:ascii="Times New Roman" w:hAnsi="Times New Roman" w:cs="Times New Roman"/>
          <w:sz w:val="24"/>
          <w:szCs w:val="24"/>
        </w:rPr>
        <w:lastRenderedPageBreak/>
        <w:t xml:space="preserve">человеку (это и инвестиционная политика </w:t>
      </w:r>
      <w:r w:rsidR="00116BF3">
        <w:rPr>
          <w:rFonts w:ascii="Times New Roman" w:hAnsi="Times New Roman" w:cs="Times New Roman"/>
          <w:sz w:val="24"/>
          <w:szCs w:val="24"/>
        </w:rPr>
        <w:t>ф</w:t>
      </w:r>
      <w:r w:rsidRPr="007734EE">
        <w:rPr>
          <w:rFonts w:ascii="Times New Roman" w:hAnsi="Times New Roman" w:cs="Times New Roman"/>
          <w:sz w:val="24"/>
          <w:szCs w:val="24"/>
        </w:rPr>
        <w:t xml:space="preserve">онда, и качество его управленческой команды, доходность,  динамика доходности инвестирования средств пенсионах накоплений и масса других факторов). Здесь мы как представители Национального Рейтингового Агентства посоветовали бы </w:t>
      </w:r>
      <w:proofErr w:type="gramStart"/>
      <w:r w:rsidRPr="007734EE">
        <w:rPr>
          <w:rFonts w:ascii="Times New Roman" w:hAnsi="Times New Roman" w:cs="Times New Roman"/>
          <w:sz w:val="24"/>
          <w:szCs w:val="24"/>
        </w:rPr>
        <w:t>пользоваться</w:t>
      </w:r>
      <w:proofErr w:type="gramEnd"/>
      <w:r w:rsidRPr="007734EE">
        <w:rPr>
          <w:rFonts w:ascii="Times New Roman" w:hAnsi="Times New Roman" w:cs="Times New Roman"/>
          <w:sz w:val="24"/>
          <w:szCs w:val="24"/>
        </w:rPr>
        <w:t xml:space="preserve"> в том числе инструментарием рейтинговых оценок. Рейтинг надежности - это мнение рейтингового агентства о степени надежности НПФ с точки зрения устойчивости его финансового состояния и способности фонда выполнять взятые на себя обязательства перед клиентами, эффективности инвестиционной политики и управления рисками, а также способности динамично развиваться. Мнение выражается в форме отнесения НПФ к одному из классов надежности по шкале Агентства. Для наглядности приведем таблицу присвоенных нами рейтингов (чем выше позиция – тем более надежным считается НПФ; уровень «ААА» соответствует максимальной надежности).</w:t>
      </w:r>
    </w:p>
    <w:p w:rsidR="00E87860" w:rsidRPr="007734EE"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noProof/>
          <w:sz w:val="24"/>
          <w:szCs w:val="24"/>
          <w:lang w:eastAsia="ru-RU"/>
        </w:rPr>
        <w:drawing>
          <wp:inline distT="0" distB="0" distL="0" distR="0" wp14:anchorId="75CA441C" wp14:editId="6BA3DD4E">
            <wp:extent cx="6334125" cy="32575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334125" cy="3257550"/>
                    </a:xfrm>
                    <a:prstGeom prst="rect">
                      <a:avLst/>
                    </a:prstGeom>
                    <a:noFill/>
                    <a:ln w="9525">
                      <a:noFill/>
                      <a:miter lim="800000"/>
                      <a:headEnd/>
                      <a:tailEnd/>
                    </a:ln>
                  </pic:spPr>
                </pic:pic>
              </a:graphicData>
            </a:graphic>
          </wp:inline>
        </w:drawing>
      </w:r>
    </w:p>
    <w:p w:rsidR="00E87860" w:rsidRPr="007734EE" w:rsidRDefault="00E87860" w:rsidP="00E87860">
      <w:pPr>
        <w:spacing w:after="0" w:line="360" w:lineRule="auto"/>
        <w:ind w:firstLine="709"/>
        <w:jc w:val="both"/>
        <w:rPr>
          <w:rFonts w:ascii="Times New Roman" w:hAnsi="Times New Roman" w:cs="Times New Roman"/>
          <w:sz w:val="24"/>
          <w:szCs w:val="24"/>
        </w:rPr>
      </w:pPr>
    </w:p>
    <w:p w:rsidR="00E87860" w:rsidRPr="007734EE" w:rsidRDefault="00E87860" w:rsidP="00E87860">
      <w:pPr>
        <w:spacing w:after="0" w:line="360" w:lineRule="auto"/>
        <w:ind w:firstLine="709"/>
        <w:jc w:val="both"/>
        <w:rPr>
          <w:rFonts w:ascii="Times New Roman" w:hAnsi="Times New Roman" w:cs="Times New Roman"/>
          <w:sz w:val="24"/>
          <w:szCs w:val="24"/>
        </w:rPr>
      </w:pPr>
      <w:r w:rsidRPr="007734EE">
        <w:rPr>
          <w:rFonts w:ascii="Times New Roman" w:hAnsi="Times New Roman" w:cs="Times New Roman"/>
          <w:sz w:val="24"/>
          <w:szCs w:val="24"/>
        </w:rPr>
        <w:t xml:space="preserve">В заключение отметим, что мы бы рекомендовали каждому гражданину России незамедлительно позаботиться о своей будущей пенсии, так как по оценкам экспертов проблемы в пенсионной системе России в ближайшие десятилетия будут только нарастать из-за демографических, </w:t>
      </w:r>
      <w:r>
        <w:rPr>
          <w:rFonts w:ascii="Times New Roman" w:hAnsi="Times New Roman" w:cs="Times New Roman"/>
          <w:sz w:val="24"/>
          <w:szCs w:val="24"/>
        </w:rPr>
        <w:t xml:space="preserve">экономических </w:t>
      </w:r>
      <w:r w:rsidRPr="007734EE">
        <w:rPr>
          <w:rFonts w:ascii="Times New Roman" w:hAnsi="Times New Roman" w:cs="Times New Roman"/>
          <w:sz w:val="24"/>
          <w:szCs w:val="24"/>
        </w:rPr>
        <w:t>и иных проблем.</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center"/>
        <w:rPr>
          <w:rFonts w:ascii="Times New Roman" w:hAnsi="Times New Roman" w:cs="Times New Roman"/>
          <w:b/>
          <w:sz w:val="28"/>
          <w:szCs w:val="28"/>
        </w:rPr>
      </w:pPr>
      <w:r w:rsidRPr="004A4E4F">
        <w:rPr>
          <w:rFonts w:ascii="Times New Roman" w:hAnsi="Times New Roman" w:cs="Times New Roman"/>
          <w:b/>
          <w:sz w:val="28"/>
          <w:szCs w:val="28"/>
        </w:rPr>
        <w:lastRenderedPageBreak/>
        <w:t>Инвестирование средств в НПФ</w:t>
      </w:r>
    </w:p>
    <w:p w:rsidR="00E87860" w:rsidRDefault="00E87860" w:rsidP="00E87860">
      <w:pPr>
        <w:spacing w:after="0" w:line="360" w:lineRule="auto"/>
        <w:ind w:firstLine="709"/>
        <w:jc w:val="both"/>
        <w:rPr>
          <w:rFonts w:ascii="Times New Roman" w:hAnsi="Times New Roman" w:cs="Times New Roman"/>
          <w:b/>
          <w:sz w:val="28"/>
          <w:szCs w:val="28"/>
        </w:rPr>
      </w:pPr>
    </w:p>
    <w:p w:rsidR="00E87860" w:rsidRDefault="00E87860" w:rsidP="00E87860">
      <w:pPr>
        <w:spacing w:after="0" w:line="360" w:lineRule="auto"/>
        <w:ind w:firstLine="709"/>
        <w:jc w:val="both"/>
        <w:rPr>
          <w:rFonts w:ascii="Times New Roman" w:hAnsi="Times New Roman" w:cs="Times New Roman"/>
          <w:b/>
          <w:sz w:val="28"/>
          <w:szCs w:val="28"/>
        </w:rPr>
      </w:pPr>
    </w:p>
    <w:p w:rsidR="00E87860" w:rsidRDefault="00E87860" w:rsidP="00E87860">
      <w:pPr>
        <w:spacing w:after="0" w:line="360" w:lineRule="auto"/>
        <w:ind w:firstLine="709"/>
        <w:jc w:val="right"/>
        <w:rPr>
          <w:rFonts w:ascii="Times New Roman" w:hAnsi="Times New Roman" w:cs="Times New Roman"/>
          <w:b/>
          <w:i/>
          <w:sz w:val="24"/>
          <w:szCs w:val="24"/>
        </w:rPr>
      </w:pPr>
      <w:r w:rsidRPr="00FF036D">
        <w:rPr>
          <w:rFonts w:ascii="Times New Roman" w:hAnsi="Times New Roman" w:cs="Times New Roman"/>
          <w:b/>
          <w:i/>
          <w:sz w:val="24"/>
          <w:szCs w:val="24"/>
        </w:rPr>
        <w:t xml:space="preserve">Сергей </w:t>
      </w:r>
      <w:r>
        <w:rPr>
          <w:rFonts w:ascii="Times New Roman" w:hAnsi="Times New Roman" w:cs="Times New Roman"/>
          <w:b/>
          <w:i/>
          <w:sz w:val="24"/>
          <w:szCs w:val="24"/>
        </w:rPr>
        <w:t xml:space="preserve">Александрович </w:t>
      </w:r>
      <w:r w:rsidRPr="00FF036D">
        <w:rPr>
          <w:rFonts w:ascii="Times New Roman" w:hAnsi="Times New Roman" w:cs="Times New Roman"/>
          <w:b/>
          <w:i/>
          <w:sz w:val="24"/>
          <w:szCs w:val="24"/>
        </w:rPr>
        <w:t>Лукин</w:t>
      </w:r>
    </w:p>
    <w:p w:rsidR="00E87860" w:rsidRPr="00FF036D"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rPr>
        <w:t>Заместитель генерального директора –</w:t>
      </w:r>
    </w:p>
    <w:p w:rsidR="00E87860" w:rsidRPr="00FF036D"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rPr>
        <w:t>Директор Департамента по работе</w:t>
      </w:r>
    </w:p>
    <w:p w:rsidR="00E87860" w:rsidRPr="00FF036D"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rPr>
        <w:t>с институциональными инвесторами</w:t>
      </w:r>
    </w:p>
    <w:p w:rsidR="00E87860" w:rsidRDefault="00E87860" w:rsidP="00E87860">
      <w:pPr>
        <w:spacing w:after="0" w:line="360" w:lineRule="auto"/>
        <w:ind w:firstLine="709"/>
        <w:jc w:val="right"/>
        <w:rPr>
          <w:rFonts w:ascii="Times New Roman" w:hAnsi="Times New Roman" w:cs="Times New Roman"/>
          <w:i/>
          <w:sz w:val="24"/>
          <w:szCs w:val="24"/>
        </w:rPr>
      </w:pPr>
      <w:r w:rsidRPr="00FF036D">
        <w:rPr>
          <w:rFonts w:ascii="Times New Roman" w:hAnsi="Times New Roman" w:cs="Times New Roman"/>
          <w:i/>
          <w:sz w:val="24"/>
          <w:szCs w:val="24"/>
          <w:lang w:val="en-US"/>
        </w:rPr>
        <w:t>Allianz</w:t>
      </w:r>
      <w:r w:rsidRPr="0027531C">
        <w:rPr>
          <w:rFonts w:ascii="Times New Roman" w:hAnsi="Times New Roman" w:cs="Times New Roman"/>
          <w:i/>
          <w:sz w:val="24"/>
          <w:szCs w:val="24"/>
        </w:rPr>
        <w:t xml:space="preserve"> </w:t>
      </w:r>
      <w:proofErr w:type="spellStart"/>
      <w:r w:rsidRPr="00FF036D">
        <w:rPr>
          <w:rFonts w:ascii="Times New Roman" w:hAnsi="Times New Roman" w:cs="Times New Roman"/>
          <w:i/>
          <w:sz w:val="24"/>
          <w:szCs w:val="24"/>
          <w:lang w:val="en-US"/>
        </w:rPr>
        <w:t>Investmens</w:t>
      </w:r>
      <w:proofErr w:type="spellEnd"/>
    </w:p>
    <w:p w:rsidR="00E87860" w:rsidRPr="00E87860" w:rsidRDefault="00E87860" w:rsidP="00E87860">
      <w:pPr>
        <w:spacing w:after="0" w:line="360" w:lineRule="auto"/>
        <w:ind w:firstLine="709"/>
        <w:jc w:val="right"/>
        <w:rPr>
          <w:rFonts w:ascii="Times New Roman" w:hAnsi="Times New Roman" w:cs="Times New Roman"/>
          <w:i/>
          <w:sz w:val="24"/>
          <w:szCs w:val="24"/>
        </w:rPr>
      </w:pPr>
    </w:p>
    <w:p w:rsidR="00E87860" w:rsidRDefault="00E87860" w:rsidP="00E87860">
      <w:pPr>
        <w:spacing w:after="0" w:line="360" w:lineRule="auto"/>
        <w:ind w:firstLine="709"/>
        <w:jc w:val="both"/>
        <w:rPr>
          <w:rFonts w:ascii="Times New Roman" w:hAnsi="Times New Roman" w:cs="Times New Roman"/>
          <w:sz w:val="24"/>
          <w:szCs w:val="24"/>
        </w:rPr>
      </w:pP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Есть только два пути увеличить будущую пенсию. Первый путь – больше откладывать. Этот путь самый простой. Что отложил, то и потом получил. Комментарии излишни. Второй путь - увеличивать размер пенсии за счет инвестиционного дохода.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Инвестирование – это очень сложный процесс, учитывающий большое количество параметров и требующий специальной  подготовки. Компании, которые работают на рынке доверительного управления, имеют соответствующие лицензии, а сотрудники этих компаний, непосредственно связанные с процессом инвестирования, обязаны быть сертифицированы по соответствующей категории. На 80% инвестирование состоит из  аналитической работы и лишь на 15% из технической. 5% оставим на удачу, интуицию, провидение и прочие мистические сказки.</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Если застрахованное лицо является «молчуном», то его средствами управляет Государственная управляющая компания в лице </w:t>
      </w:r>
      <w:proofErr w:type="spellStart"/>
      <w:r w:rsidRPr="0027531C">
        <w:rPr>
          <w:rFonts w:ascii="Times New Roman" w:hAnsi="Times New Roman" w:cs="Times New Roman"/>
          <w:sz w:val="24"/>
          <w:szCs w:val="24"/>
        </w:rPr>
        <w:t>ВЭБа</w:t>
      </w:r>
      <w:proofErr w:type="spellEnd"/>
      <w:r w:rsidRPr="0027531C">
        <w:rPr>
          <w:rFonts w:ascii="Times New Roman" w:hAnsi="Times New Roman" w:cs="Times New Roman"/>
          <w:sz w:val="24"/>
          <w:szCs w:val="24"/>
        </w:rPr>
        <w:t xml:space="preserve">. Так, по итогам 9 месяцев 2013 года доходность расширенного портфеля </w:t>
      </w:r>
      <w:proofErr w:type="spellStart"/>
      <w:r w:rsidRPr="0027531C">
        <w:rPr>
          <w:rFonts w:ascii="Times New Roman" w:hAnsi="Times New Roman" w:cs="Times New Roman"/>
          <w:sz w:val="24"/>
          <w:szCs w:val="24"/>
        </w:rPr>
        <w:t>ВЭБа</w:t>
      </w:r>
      <w:proofErr w:type="spellEnd"/>
      <w:r w:rsidRPr="0027531C">
        <w:rPr>
          <w:rFonts w:ascii="Times New Roman" w:hAnsi="Times New Roman" w:cs="Times New Roman"/>
          <w:sz w:val="24"/>
          <w:szCs w:val="24"/>
        </w:rPr>
        <w:t xml:space="preserve"> составила 6,94% годовых, а портфель госбумаг 7,46%. В то же время, из 55 Управляющих компаний более высокую доходность показал 21 инвестиционный портфель.</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Для понимания того, почему НПФ и Управляющие компании дают больший доход, необходимо разобраться, в чем отличия в процессе инвестирования Государственной управляющей компании и НПФ, не забывая, что будущая пенсия по правилам жизни не относится к объектам, которыми стоит излишне рисковать.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Основной закон инвестирования: принимая на себя  больший риск, инвестор вправе рассчитывать на больший доход.  Важно понимать, что доходность и риск – это взаимосвязанные понятия и справедливо обратное утверждение:  чтобы получить большой доход инвестор должен быть готов к тому, что придётся брать на себя больший риск.</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lastRenderedPageBreak/>
        <w:t xml:space="preserve">Для простоты все инструменты, которыми мы воздействуем на деньги, можно разделить на две группы: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А) инструменты с рыночным доходом, которые позволяют зарабатывать за счет изменения собственной стоимости инструмента на рынке. Это акции. Покупая акцию, вы становитесь акционером некоего акционерного общества, то есть имеете свою долю в бизнесе этого общества. Инвестирование в акции относится </w:t>
      </w:r>
      <w:proofErr w:type="gramStart"/>
      <w:r w:rsidRPr="0027531C">
        <w:rPr>
          <w:rFonts w:ascii="Times New Roman" w:hAnsi="Times New Roman" w:cs="Times New Roman"/>
          <w:sz w:val="24"/>
          <w:szCs w:val="24"/>
        </w:rPr>
        <w:t>в</w:t>
      </w:r>
      <w:proofErr w:type="gramEnd"/>
      <w:r w:rsidRPr="0027531C">
        <w:rPr>
          <w:rFonts w:ascii="Times New Roman" w:hAnsi="Times New Roman" w:cs="Times New Roman"/>
          <w:sz w:val="24"/>
          <w:szCs w:val="24"/>
        </w:rPr>
        <w:t xml:space="preserve"> рискованным инвестициям, с высокой ожидаемой доходностью.</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Б) инструменты с фиксированным доходом - те, что генерируют нам денежный поток. Если вы даете кому-то деньги взаймы на год под 5%, то это и есть инструмент с фиксированным доходом. Через год вам, по идее, должны вернуть сумму долга и 5%, но не более, и хорошо, если не менее. Инвестирование в облигации корпораций относится к инвестициям с умеренным риском, а инвестиции в государственные облигации считается </w:t>
      </w:r>
      <w:proofErr w:type="spellStart"/>
      <w:r w:rsidRPr="0027531C">
        <w:rPr>
          <w:rFonts w:ascii="Times New Roman" w:hAnsi="Times New Roman" w:cs="Times New Roman"/>
          <w:sz w:val="24"/>
          <w:szCs w:val="24"/>
        </w:rPr>
        <w:t>безрисковыми</w:t>
      </w:r>
      <w:proofErr w:type="spellEnd"/>
      <w:r w:rsidRPr="0027531C">
        <w:rPr>
          <w:rFonts w:ascii="Times New Roman" w:hAnsi="Times New Roman" w:cs="Times New Roman"/>
          <w:sz w:val="24"/>
          <w:szCs w:val="24"/>
        </w:rPr>
        <w:t>, что, как мы уже знаем, ограничивает доход по этим инструментам.</w:t>
      </w:r>
    </w:p>
    <w:p w:rsidR="00E87860"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Согласно действующему законодательству, Государственная управляющая компания имеет право размещать средства пенсионеров в государственные облигации и облигации корпораций. Доход по такому портфелю стабильный, но невысокий.  Защитить будущую пенсию от инфляции при таком подходе практически невозможно. Для повышения потенциального дохода необходимо использовать рискованные финансовые инструменты и без акций не обойтись.  В  отличие от Государственной компании НПФ такую возможность имеют и успешно ее используют. В результате, на длительном временном интервале появляется возможность </w:t>
      </w:r>
      <w:r>
        <w:rPr>
          <w:rFonts w:ascii="Times New Roman" w:hAnsi="Times New Roman" w:cs="Times New Roman"/>
          <w:sz w:val="24"/>
          <w:szCs w:val="24"/>
        </w:rPr>
        <w:t>получения дохода</w:t>
      </w:r>
      <w:r w:rsidRPr="0027531C">
        <w:rPr>
          <w:rFonts w:ascii="Times New Roman" w:hAnsi="Times New Roman" w:cs="Times New Roman"/>
          <w:sz w:val="24"/>
          <w:szCs w:val="24"/>
        </w:rPr>
        <w:t>, покрывающего инфляцию.</w:t>
      </w:r>
    </w:p>
    <w:p w:rsidR="00E87860" w:rsidRDefault="00E87860" w:rsidP="00E878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Таблице 1 приведены доходности в процентах за восемь лет, с 2005 по 2012 годы, Государственной управляющей компании </w:t>
      </w:r>
      <w:proofErr w:type="spellStart"/>
      <w:r>
        <w:rPr>
          <w:rFonts w:ascii="Times New Roman" w:hAnsi="Times New Roman" w:cs="Times New Roman"/>
          <w:sz w:val="24"/>
          <w:szCs w:val="24"/>
        </w:rPr>
        <w:t>ВЭБа</w:t>
      </w:r>
      <w:proofErr w:type="spellEnd"/>
      <w:r>
        <w:rPr>
          <w:rFonts w:ascii="Times New Roman" w:hAnsi="Times New Roman" w:cs="Times New Roman"/>
          <w:sz w:val="24"/>
          <w:szCs w:val="24"/>
        </w:rPr>
        <w:t xml:space="preserve"> и некоторых НПФ. Данные компании «Пенсионные и актуарные консультации».</w:t>
      </w:r>
    </w:p>
    <w:p w:rsidR="00E87860" w:rsidRDefault="00E87860" w:rsidP="00E87860">
      <w:pPr>
        <w:spacing w:after="0" w:line="360" w:lineRule="auto"/>
        <w:ind w:firstLine="709"/>
        <w:jc w:val="both"/>
        <w:rPr>
          <w:rFonts w:ascii="Times New Roman" w:hAnsi="Times New Roman" w:cs="Times New Roman"/>
          <w:sz w:val="24"/>
          <w:szCs w:val="24"/>
        </w:rPr>
      </w:pPr>
    </w:p>
    <w:p w:rsidR="00E87860" w:rsidRPr="00931E14" w:rsidRDefault="00E87860" w:rsidP="00E87860">
      <w:pPr>
        <w:spacing w:after="0" w:line="360" w:lineRule="auto"/>
        <w:ind w:firstLine="709"/>
        <w:jc w:val="both"/>
        <w:rPr>
          <w:rFonts w:ascii="Times New Roman" w:hAnsi="Times New Roman" w:cs="Times New Roman"/>
          <w:b/>
          <w:sz w:val="24"/>
          <w:szCs w:val="24"/>
        </w:rPr>
      </w:pPr>
      <w:r w:rsidRPr="00931E14">
        <w:rPr>
          <w:rFonts w:ascii="Times New Roman" w:hAnsi="Times New Roman" w:cs="Times New Roman"/>
          <w:b/>
          <w:sz w:val="24"/>
          <w:szCs w:val="24"/>
        </w:rPr>
        <w:t>Таблица 1</w:t>
      </w:r>
    </w:p>
    <w:tbl>
      <w:tblPr>
        <w:tblStyle w:val="ab"/>
        <w:tblW w:w="0" w:type="auto"/>
        <w:tblLook w:val="04A0" w:firstRow="1" w:lastRow="0" w:firstColumn="1" w:lastColumn="0" w:noHBand="0" w:noVBand="1"/>
      </w:tblPr>
      <w:tblGrid>
        <w:gridCol w:w="4785"/>
        <w:gridCol w:w="4786"/>
      </w:tblGrid>
      <w:tr w:rsidR="00E87860" w:rsidTr="00116BF3">
        <w:tc>
          <w:tcPr>
            <w:tcW w:w="4785" w:type="dxa"/>
          </w:tcPr>
          <w:p w:rsidR="00E87860" w:rsidRDefault="00E87860" w:rsidP="00E87860">
            <w:pPr>
              <w:spacing w:line="360" w:lineRule="auto"/>
              <w:ind w:firstLine="709"/>
              <w:jc w:val="both"/>
              <w:rPr>
                <w:sz w:val="24"/>
                <w:szCs w:val="24"/>
              </w:rPr>
            </w:pPr>
            <w:r>
              <w:rPr>
                <w:sz w:val="24"/>
                <w:szCs w:val="24"/>
              </w:rPr>
              <w:t>Организация</w:t>
            </w:r>
          </w:p>
        </w:tc>
        <w:tc>
          <w:tcPr>
            <w:tcW w:w="4786" w:type="dxa"/>
          </w:tcPr>
          <w:p w:rsidR="00E87860" w:rsidRDefault="00E87860" w:rsidP="00E87860">
            <w:pPr>
              <w:spacing w:line="360" w:lineRule="auto"/>
              <w:ind w:firstLine="709"/>
              <w:jc w:val="both"/>
              <w:rPr>
                <w:sz w:val="24"/>
                <w:szCs w:val="24"/>
              </w:rPr>
            </w:pPr>
            <w:r>
              <w:rPr>
                <w:sz w:val="24"/>
                <w:szCs w:val="24"/>
              </w:rPr>
              <w:t>Доходность будущих пенсионеров, %</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ВЭБ</w:t>
            </w:r>
          </w:p>
        </w:tc>
        <w:tc>
          <w:tcPr>
            <w:tcW w:w="4786" w:type="dxa"/>
          </w:tcPr>
          <w:p w:rsidR="00E87860" w:rsidRDefault="00E87860" w:rsidP="00E87860">
            <w:pPr>
              <w:spacing w:line="360" w:lineRule="auto"/>
              <w:ind w:firstLine="709"/>
              <w:jc w:val="both"/>
              <w:rPr>
                <w:sz w:val="24"/>
                <w:szCs w:val="24"/>
              </w:rPr>
            </w:pPr>
            <w:r>
              <w:rPr>
                <w:sz w:val="24"/>
                <w:szCs w:val="24"/>
              </w:rPr>
              <w:t>56,78</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«Благосостояние»</w:t>
            </w:r>
          </w:p>
        </w:tc>
        <w:tc>
          <w:tcPr>
            <w:tcW w:w="4786" w:type="dxa"/>
          </w:tcPr>
          <w:p w:rsidR="00E87860" w:rsidRDefault="00E87860" w:rsidP="00E87860">
            <w:pPr>
              <w:spacing w:line="360" w:lineRule="auto"/>
              <w:ind w:firstLine="709"/>
              <w:jc w:val="both"/>
              <w:rPr>
                <w:sz w:val="24"/>
                <w:szCs w:val="24"/>
              </w:rPr>
            </w:pPr>
            <w:r>
              <w:rPr>
                <w:sz w:val="24"/>
                <w:szCs w:val="24"/>
              </w:rPr>
              <w:t>110,42</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«Большой ПФ»</w:t>
            </w:r>
          </w:p>
        </w:tc>
        <w:tc>
          <w:tcPr>
            <w:tcW w:w="4786" w:type="dxa"/>
          </w:tcPr>
          <w:p w:rsidR="00E87860" w:rsidRDefault="00E87860" w:rsidP="00E87860">
            <w:pPr>
              <w:spacing w:line="360" w:lineRule="auto"/>
              <w:ind w:firstLine="709"/>
              <w:jc w:val="both"/>
              <w:rPr>
                <w:sz w:val="24"/>
                <w:szCs w:val="24"/>
              </w:rPr>
            </w:pPr>
            <w:r>
              <w:rPr>
                <w:sz w:val="24"/>
                <w:szCs w:val="24"/>
              </w:rPr>
              <w:t>124,99</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«Лукойл – Гарант»</w:t>
            </w:r>
          </w:p>
        </w:tc>
        <w:tc>
          <w:tcPr>
            <w:tcW w:w="4786" w:type="dxa"/>
          </w:tcPr>
          <w:p w:rsidR="00E87860" w:rsidRDefault="00E87860" w:rsidP="00E87860">
            <w:pPr>
              <w:spacing w:line="360" w:lineRule="auto"/>
              <w:ind w:firstLine="709"/>
              <w:jc w:val="both"/>
              <w:rPr>
                <w:sz w:val="24"/>
                <w:szCs w:val="24"/>
              </w:rPr>
            </w:pPr>
            <w:r>
              <w:rPr>
                <w:sz w:val="24"/>
                <w:szCs w:val="24"/>
              </w:rPr>
              <w:t>105,82</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«Первый Национальный ПФ»</w:t>
            </w:r>
          </w:p>
        </w:tc>
        <w:tc>
          <w:tcPr>
            <w:tcW w:w="4786" w:type="dxa"/>
          </w:tcPr>
          <w:p w:rsidR="00E87860" w:rsidRDefault="00E87860" w:rsidP="00E87860">
            <w:pPr>
              <w:spacing w:line="360" w:lineRule="auto"/>
              <w:ind w:firstLine="709"/>
              <w:jc w:val="both"/>
              <w:rPr>
                <w:sz w:val="24"/>
                <w:szCs w:val="24"/>
              </w:rPr>
            </w:pPr>
            <w:r>
              <w:rPr>
                <w:sz w:val="24"/>
                <w:szCs w:val="24"/>
              </w:rPr>
              <w:t>124,6</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lastRenderedPageBreak/>
              <w:t>НПФ «</w:t>
            </w:r>
            <w:proofErr w:type="spellStart"/>
            <w:r>
              <w:rPr>
                <w:sz w:val="24"/>
                <w:szCs w:val="24"/>
              </w:rPr>
              <w:t>СтальФонд</w:t>
            </w:r>
            <w:proofErr w:type="spellEnd"/>
            <w:r>
              <w:rPr>
                <w:sz w:val="24"/>
                <w:szCs w:val="24"/>
              </w:rPr>
              <w:t>»</w:t>
            </w:r>
          </w:p>
        </w:tc>
        <w:tc>
          <w:tcPr>
            <w:tcW w:w="4786" w:type="dxa"/>
          </w:tcPr>
          <w:p w:rsidR="00E87860" w:rsidRDefault="00E87860" w:rsidP="00E87860">
            <w:pPr>
              <w:spacing w:line="360" w:lineRule="auto"/>
              <w:ind w:firstLine="709"/>
              <w:jc w:val="both"/>
              <w:rPr>
                <w:sz w:val="24"/>
                <w:szCs w:val="24"/>
              </w:rPr>
            </w:pPr>
            <w:r>
              <w:rPr>
                <w:sz w:val="24"/>
                <w:szCs w:val="24"/>
              </w:rPr>
              <w:t>170,93</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«Ханты-Мансийский»</w:t>
            </w:r>
          </w:p>
        </w:tc>
        <w:tc>
          <w:tcPr>
            <w:tcW w:w="4786" w:type="dxa"/>
          </w:tcPr>
          <w:p w:rsidR="00E87860" w:rsidRDefault="00E87860" w:rsidP="00E87860">
            <w:pPr>
              <w:spacing w:line="360" w:lineRule="auto"/>
              <w:ind w:firstLine="709"/>
              <w:jc w:val="both"/>
              <w:rPr>
                <w:sz w:val="24"/>
                <w:szCs w:val="24"/>
              </w:rPr>
            </w:pPr>
            <w:r>
              <w:rPr>
                <w:sz w:val="24"/>
                <w:szCs w:val="24"/>
              </w:rPr>
              <w:t>106,19</w:t>
            </w:r>
          </w:p>
        </w:tc>
      </w:tr>
      <w:tr w:rsidR="00E87860" w:rsidTr="00116BF3">
        <w:tc>
          <w:tcPr>
            <w:tcW w:w="4785" w:type="dxa"/>
          </w:tcPr>
          <w:p w:rsidR="00E87860" w:rsidRDefault="00E87860" w:rsidP="00E87860">
            <w:pPr>
              <w:spacing w:line="360" w:lineRule="auto"/>
              <w:ind w:firstLine="709"/>
              <w:jc w:val="both"/>
              <w:rPr>
                <w:sz w:val="24"/>
                <w:szCs w:val="24"/>
              </w:rPr>
            </w:pPr>
            <w:r>
              <w:rPr>
                <w:sz w:val="24"/>
                <w:szCs w:val="24"/>
              </w:rPr>
              <w:t>НПФ «Санкт-Петербург»</w:t>
            </w:r>
          </w:p>
        </w:tc>
        <w:tc>
          <w:tcPr>
            <w:tcW w:w="4786" w:type="dxa"/>
          </w:tcPr>
          <w:p w:rsidR="00E87860" w:rsidRDefault="00E87860" w:rsidP="00E87860">
            <w:pPr>
              <w:spacing w:line="360" w:lineRule="auto"/>
              <w:ind w:firstLine="709"/>
              <w:jc w:val="both"/>
              <w:rPr>
                <w:sz w:val="24"/>
                <w:szCs w:val="24"/>
              </w:rPr>
            </w:pPr>
            <w:r>
              <w:rPr>
                <w:sz w:val="24"/>
                <w:szCs w:val="24"/>
              </w:rPr>
              <w:t>122,28</w:t>
            </w:r>
          </w:p>
        </w:tc>
      </w:tr>
    </w:tbl>
    <w:p w:rsidR="00E87860" w:rsidRPr="002E192B" w:rsidRDefault="00E87860" w:rsidP="00E87860">
      <w:pPr>
        <w:spacing w:after="0" w:line="360" w:lineRule="auto"/>
        <w:ind w:firstLine="709"/>
        <w:jc w:val="both"/>
        <w:rPr>
          <w:rFonts w:ascii="Times New Roman" w:hAnsi="Times New Roman" w:cs="Times New Roman"/>
          <w:i/>
          <w:sz w:val="24"/>
          <w:szCs w:val="24"/>
        </w:rPr>
      </w:pPr>
      <w:r w:rsidRPr="002E192B">
        <w:rPr>
          <w:rFonts w:ascii="Times New Roman" w:hAnsi="Times New Roman" w:cs="Times New Roman"/>
          <w:i/>
          <w:sz w:val="24"/>
          <w:szCs w:val="24"/>
        </w:rPr>
        <w:t>Инфляция                                                                                               105,04</w:t>
      </w:r>
    </w:p>
    <w:p w:rsidR="00E87860" w:rsidRPr="0027531C" w:rsidRDefault="00E87860" w:rsidP="00E87860">
      <w:pPr>
        <w:spacing w:after="0" w:line="360" w:lineRule="auto"/>
        <w:ind w:firstLine="709"/>
        <w:jc w:val="both"/>
        <w:rPr>
          <w:rFonts w:ascii="Times New Roman" w:hAnsi="Times New Roman" w:cs="Times New Roman"/>
          <w:sz w:val="24"/>
          <w:szCs w:val="24"/>
        </w:rPr>
      </w:pP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 xml:space="preserve">Необходимость работы на рынке акций в корне изменила подход к инвестированию пенсионных </w:t>
      </w:r>
      <w:r w:rsidR="00116BF3">
        <w:rPr>
          <w:rFonts w:ascii="Times New Roman" w:hAnsi="Times New Roman" w:cs="Times New Roman"/>
          <w:sz w:val="24"/>
          <w:szCs w:val="24"/>
        </w:rPr>
        <w:t>активов</w:t>
      </w:r>
      <w:r w:rsidRPr="0027531C">
        <w:rPr>
          <w:rFonts w:ascii="Times New Roman" w:hAnsi="Times New Roman" w:cs="Times New Roman"/>
          <w:sz w:val="24"/>
          <w:szCs w:val="24"/>
        </w:rPr>
        <w:t xml:space="preserve">. Ранее управляющие руководствовались правилом: «купил и держи». Суть стратегии заключалась в том, чтобы отобрать в инвестиционный портфель «качественные» финансовые инструменты,  купить и считать свою миссию исполненной. Такая стратегия справедлива на стабильном, устойчиво растущем рынке. Практика последних десяти лет коренным образом изменила этот подход. Главный упор управляющие делают на динамический контроль рисков разного уровня для обеспечения сохранности активов.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Важно отметить, что для инвестирования негосударственный пенсионный фонд</w:t>
      </w:r>
      <w:proofErr w:type="gramStart"/>
      <w:r w:rsidRPr="0027531C">
        <w:rPr>
          <w:rFonts w:ascii="Times New Roman" w:hAnsi="Times New Roman" w:cs="Times New Roman"/>
          <w:sz w:val="24"/>
          <w:szCs w:val="24"/>
        </w:rPr>
        <w:t xml:space="preserve"> ,</w:t>
      </w:r>
      <w:proofErr w:type="gramEnd"/>
      <w:r w:rsidRPr="0027531C">
        <w:rPr>
          <w:rFonts w:ascii="Times New Roman" w:hAnsi="Times New Roman" w:cs="Times New Roman"/>
          <w:sz w:val="24"/>
          <w:szCs w:val="24"/>
        </w:rPr>
        <w:t xml:space="preserve"> как правило, привлекает несколько управляющих компаний. Это несомненный плюс, так как в случае если один из управляющих сработал не совсем хорошо, его коллеги исправят ситуацию.  Распределение инвестиционного портфеля среди управляющих снижает риск принятия неверных решений одним из них, что может негативно отразиться на состоянии всего инвестиционного портфеля в целом. Принцип раскладки яиц в разные корзины применим и на уровне управляющих.  Более того, умные пенсионные фонды анализируют результаты деятельности своих управляющих и распределяют пенсионные средства по направлениям инвестирования в зависимости от умения управляющего. Не секрет, что быть лучшим во всем невозможно. Кто-то из управляющих показывает лучший результат при работе с акциями, кто-то считает своим «коньком» работу на рынке облигаций, кто-то достиг успеха при активной работе на движениях рынка. Найти и максимально использовать мастерство управляющего для вышеозначенных целей - это качественно новый подход в управлении активами фонда, к которому мы постепенно приходим.</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Конечно, в предлагаемой схеме взаимодействия негосударственного пенсионного фонда и управляющей компании с точки зрения застрахованного лица есть и минусы. Главным минусом (с оговоркой) является то, что застрахованное лицо не может самостоятельно выбирать инвестиционный портфель. За вас это делает негосударственный пенсионный фонд. Дело в том, что при подписании договора с НПФ, последний берет на себя обязательства перед застрахованным лицом об обеспечении сохранности вверенных средств пенсионных накоплений</w:t>
      </w:r>
      <w:r w:rsidR="00116BF3">
        <w:rPr>
          <w:rFonts w:ascii="Times New Roman" w:hAnsi="Times New Roman" w:cs="Times New Roman"/>
          <w:sz w:val="24"/>
          <w:szCs w:val="24"/>
        </w:rPr>
        <w:t>. Исходя из этого, ф</w:t>
      </w:r>
      <w:r w:rsidRPr="0027531C">
        <w:rPr>
          <w:rFonts w:ascii="Times New Roman" w:hAnsi="Times New Roman" w:cs="Times New Roman"/>
          <w:sz w:val="24"/>
          <w:szCs w:val="24"/>
        </w:rPr>
        <w:t xml:space="preserve">онд сам </w:t>
      </w:r>
      <w:r w:rsidRPr="0027531C">
        <w:rPr>
          <w:rFonts w:ascii="Times New Roman" w:hAnsi="Times New Roman" w:cs="Times New Roman"/>
          <w:sz w:val="24"/>
          <w:szCs w:val="24"/>
        </w:rPr>
        <w:lastRenderedPageBreak/>
        <w:t xml:space="preserve">решает: каким управляющим  передать ваши средства, на каких условиях и какая инвестиционная стратегия будет реализована. </w:t>
      </w:r>
    </w:p>
    <w:p w:rsidR="00E87860" w:rsidRPr="0027531C" w:rsidRDefault="00E87860" w:rsidP="00E87860">
      <w:pPr>
        <w:spacing w:after="0" w:line="360" w:lineRule="auto"/>
        <w:ind w:firstLine="709"/>
        <w:jc w:val="both"/>
        <w:rPr>
          <w:rFonts w:ascii="Times New Roman" w:hAnsi="Times New Roman" w:cs="Times New Roman"/>
          <w:sz w:val="24"/>
          <w:szCs w:val="24"/>
        </w:rPr>
      </w:pPr>
      <w:r w:rsidRPr="0027531C">
        <w:rPr>
          <w:rFonts w:ascii="Times New Roman" w:hAnsi="Times New Roman" w:cs="Times New Roman"/>
          <w:sz w:val="24"/>
          <w:szCs w:val="24"/>
        </w:rPr>
        <w:t>Оговорка же состоит в следующем: практика показывает, что не все граждане обладают достаточными знаниями, умениями и квалификацией, чтобы разработать собственную инвестиционную стратегию для уп</w:t>
      </w:r>
      <w:r>
        <w:rPr>
          <w:rFonts w:ascii="Times New Roman" w:hAnsi="Times New Roman" w:cs="Times New Roman"/>
          <w:sz w:val="24"/>
          <w:szCs w:val="24"/>
        </w:rPr>
        <w:t>равления пенсионными деньгами. Негосударственный п</w:t>
      </w:r>
      <w:r w:rsidRPr="0027531C">
        <w:rPr>
          <w:rFonts w:ascii="Times New Roman" w:hAnsi="Times New Roman" w:cs="Times New Roman"/>
          <w:sz w:val="24"/>
          <w:szCs w:val="24"/>
        </w:rPr>
        <w:t xml:space="preserve">енсионный фонд в этом плане  оберегает участника от соблазнов и регулирует </w:t>
      </w:r>
      <w:proofErr w:type="gramStart"/>
      <w:r w:rsidRPr="0027531C">
        <w:rPr>
          <w:rFonts w:ascii="Times New Roman" w:hAnsi="Times New Roman" w:cs="Times New Roman"/>
          <w:sz w:val="24"/>
          <w:szCs w:val="24"/>
        </w:rPr>
        <w:t>аппетиты граждан к риску</w:t>
      </w:r>
      <w:proofErr w:type="gramEnd"/>
      <w:r w:rsidRPr="0027531C">
        <w:rPr>
          <w:rFonts w:ascii="Times New Roman" w:hAnsi="Times New Roman" w:cs="Times New Roman"/>
          <w:sz w:val="24"/>
          <w:szCs w:val="24"/>
        </w:rPr>
        <w:t xml:space="preserve">. </w:t>
      </w: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87860" w:rsidRDefault="00E87860" w:rsidP="00E87860">
      <w:pPr>
        <w:spacing w:after="0" w:line="360" w:lineRule="auto"/>
        <w:ind w:firstLine="709"/>
        <w:jc w:val="both"/>
      </w:pPr>
    </w:p>
    <w:p w:rsidR="00E30FE8" w:rsidRDefault="00E30FE8" w:rsidP="00E87860">
      <w:pPr>
        <w:spacing w:after="0" w:line="360" w:lineRule="auto"/>
        <w:ind w:firstLine="709"/>
        <w:jc w:val="center"/>
        <w:rPr>
          <w:rFonts w:ascii="Times New Roman" w:hAnsi="Times New Roman"/>
          <w:b/>
          <w:sz w:val="28"/>
          <w:szCs w:val="28"/>
        </w:rPr>
      </w:pPr>
    </w:p>
    <w:p w:rsidR="00E87860" w:rsidRDefault="00E87860" w:rsidP="00E87860">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Думайте сами, решайте сами</w:t>
      </w:r>
    </w:p>
    <w:p w:rsidR="00E87860" w:rsidRPr="007B65B6" w:rsidRDefault="00E87860" w:rsidP="00E87860">
      <w:pPr>
        <w:spacing w:after="0" w:line="360" w:lineRule="auto"/>
        <w:ind w:firstLine="709"/>
        <w:jc w:val="both"/>
        <w:rPr>
          <w:rFonts w:ascii="Times New Roman" w:hAnsi="Times New Roman"/>
          <w:b/>
          <w:sz w:val="28"/>
          <w:szCs w:val="28"/>
          <w:u w:val="single"/>
        </w:rPr>
      </w:pPr>
    </w:p>
    <w:p w:rsidR="00E87860" w:rsidRPr="007B65B6" w:rsidRDefault="00E87860" w:rsidP="00E87860">
      <w:pPr>
        <w:spacing w:after="0" w:line="360" w:lineRule="auto"/>
        <w:ind w:firstLine="709"/>
        <w:jc w:val="both"/>
        <w:rPr>
          <w:rFonts w:ascii="Times New Roman" w:hAnsi="Times New Roman"/>
          <w:b/>
          <w:i/>
          <w:sz w:val="20"/>
          <w:szCs w:val="20"/>
          <w:u w:val="single"/>
        </w:rPr>
      </w:pPr>
    </w:p>
    <w:p w:rsidR="00E87860" w:rsidRPr="00E87860" w:rsidRDefault="00E87860" w:rsidP="00E87860">
      <w:pPr>
        <w:spacing w:after="0" w:line="360" w:lineRule="auto"/>
        <w:ind w:firstLine="709"/>
        <w:jc w:val="right"/>
        <w:rPr>
          <w:rFonts w:ascii="Times New Roman" w:hAnsi="Times New Roman"/>
          <w:b/>
          <w:i/>
          <w:sz w:val="24"/>
          <w:szCs w:val="24"/>
        </w:rPr>
      </w:pPr>
      <w:r w:rsidRPr="00E87860">
        <w:rPr>
          <w:rFonts w:ascii="Times New Roman" w:hAnsi="Times New Roman"/>
          <w:b/>
          <w:i/>
          <w:sz w:val="24"/>
          <w:szCs w:val="24"/>
        </w:rPr>
        <w:t>Вероника Николаевна Иванова</w:t>
      </w:r>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 xml:space="preserve">Заместитель руководителя отдела </w:t>
      </w:r>
      <w:proofErr w:type="gramStart"/>
      <w:r w:rsidRPr="00E87860">
        <w:rPr>
          <w:rFonts w:ascii="Times New Roman" w:hAnsi="Times New Roman"/>
          <w:i/>
          <w:sz w:val="24"/>
          <w:szCs w:val="24"/>
        </w:rPr>
        <w:t>корпоративных</w:t>
      </w:r>
      <w:proofErr w:type="gramEnd"/>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и инвестиционных рейтингов</w:t>
      </w:r>
    </w:p>
    <w:p w:rsidR="00E87860" w:rsidRPr="00E87860" w:rsidRDefault="00116BF3" w:rsidP="00E87860">
      <w:pPr>
        <w:spacing w:after="0" w:line="360" w:lineRule="auto"/>
        <w:ind w:firstLine="709"/>
        <w:jc w:val="right"/>
        <w:rPr>
          <w:rFonts w:ascii="Times New Roman" w:hAnsi="Times New Roman"/>
          <w:i/>
          <w:sz w:val="24"/>
          <w:szCs w:val="24"/>
        </w:rPr>
      </w:pPr>
      <w:r>
        <w:rPr>
          <w:rFonts w:ascii="Times New Roman" w:hAnsi="Times New Roman"/>
          <w:i/>
          <w:sz w:val="24"/>
          <w:szCs w:val="24"/>
        </w:rPr>
        <w:t>Р</w:t>
      </w:r>
      <w:r w:rsidR="00E87860" w:rsidRPr="00E87860">
        <w:rPr>
          <w:rFonts w:ascii="Times New Roman" w:hAnsi="Times New Roman"/>
          <w:i/>
          <w:sz w:val="24"/>
          <w:szCs w:val="24"/>
        </w:rPr>
        <w:t>ейтингового агентства «Эксперт РА»</w:t>
      </w:r>
    </w:p>
    <w:p w:rsidR="00E87860" w:rsidRPr="00E87860" w:rsidRDefault="00E87860" w:rsidP="00E87860">
      <w:pPr>
        <w:spacing w:after="0" w:line="360" w:lineRule="auto"/>
        <w:ind w:firstLine="709"/>
        <w:jc w:val="right"/>
        <w:rPr>
          <w:rFonts w:ascii="Times New Roman" w:hAnsi="Times New Roman"/>
          <w:b/>
          <w:i/>
          <w:sz w:val="24"/>
          <w:szCs w:val="24"/>
          <w:u w:val="single"/>
        </w:rPr>
      </w:pPr>
    </w:p>
    <w:p w:rsidR="00E87860" w:rsidRPr="00E87860" w:rsidRDefault="00E87860" w:rsidP="00E87860">
      <w:pPr>
        <w:spacing w:after="0" w:line="360" w:lineRule="auto"/>
        <w:ind w:firstLine="709"/>
        <w:jc w:val="right"/>
        <w:rPr>
          <w:rFonts w:ascii="Times New Roman" w:hAnsi="Times New Roman"/>
          <w:b/>
          <w:i/>
          <w:sz w:val="24"/>
          <w:szCs w:val="24"/>
        </w:rPr>
      </w:pPr>
      <w:r w:rsidRPr="00E87860">
        <w:rPr>
          <w:rFonts w:ascii="Times New Roman" w:hAnsi="Times New Roman"/>
          <w:b/>
          <w:i/>
          <w:sz w:val="24"/>
          <w:szCs w:val="24"/>
        </w:rPr>
        <w:t>Павел Сергеевич Митрофанов</w:t>
      </w:r>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 xml:space="preserve">Руководитель отдела </w:t>
      </w:r>
      <w:proofErr w:type="gramStart"/>
      <w:r w:rsidRPr="00E87860">
        <w:rPr>
          <w:rFonts w:ascii="Times New Roman" w:hAnsi="Times New Roman"/>
          <w:i/>
          <w:sz w:val="24"/>
          <w:szCs w:val="24"/>
        </w:rPr>
        <w:t>корпоративных</w:t>
      </w:r>
      <w:proofErr w:type="gramEnd"/>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и инвест</w:t>
      </w:r>
      <w:r w:rsidR="00E30FE8">
        <w:rPr>
          <w:rFonts w:ascii="Times New Roman" w:hAnsi="Times New Roman"/>
          <w:i/>
          <w:sz w:val="24"/>
          <w:szCs w:val="24"/>
        </w:rPr>
        <w:t>и</w:t>
      </w:r>
      <w:r w:rsidRPr="00E87860">
        <w:rPr>
          <w:rFonts w:ascii="Times New Roman" w:hAnsi="Times New Roman"/>
          <w:i/>
          <w:sz w:val="24"/>
          <w:szCs w:val="24"/>
        </w:rPr>
        <w:t>ционных рейтингов</w:t>
      </w:r>
    </w:p>
    <w:p w:rsidR="00E87860" w:rsidRPr="00E87860" w:rsidRDefault="00E87860" w:rsidP="00E87860">
      <w:pPr>
        <w:spacing w:after="0" w:line="360" w:lineRule="auto"/>
        <w:ind w:firstLine="709"/>
        <w:jc w:val="right"/>
        <w:rPr>
          <w:rFonts w:ascii="Times New Roman" w:hAnsi="Times New Roman"/>
          <w:i/>
          <w:sz w:val="24"/>
          <w:szCs w:val="24"/>
        </w:rPr>
      </w:pPr>
      <w:r w:rsidRPr="00E87860">
        <w:rPr>
          <w:rFonts w:ascii="Times New Roman" w:hAnsi="Times New Roman"/>
          <w:i/>
          <w:sz w:val="24"/>
          <w:szCs w:val="24"/>
        </w:rPr>
        <w:t>Рейтингового агентства «Эксперт РА»</w:t>
      </w:r>
    </w:p>
    <w:p w:rsidR="00E87860" w:rsidRDefault="00E87860" w:rsidP="00E87860">
      <w:pPr>
        <w:spacing w:after="0" w:line="360" w:lineRule="auto"/>
        <w:ind w:firstLine="709"/>
        <w:jc w:val="right"/>
        <w:rPr>
          <w:rFonts w:ascii="Times New Roman" w:hAnsi="Times New Roman"/>
          <w:b/>
          <w:sz w:val="28"/>
          <w:szCs w:val="28"/>
        </w:rPr>
      </w:pPr>
    </w:p>
    <w:p w:rsidR="00E87860" w:rsidRDefault="00E87860" w:rsidP="00E87860">
      <w:pPr>
        <w:spacing w:after="0" w:line="360" w:lineRule="auto"/>
        <w:ind w:firstLine="709"/>
        <w:jc w:val="both"/>
        <w:rPr>
          <w:rFonts w:ascii="Times New Roman" w:hAnsi="Times New Roman"/>
          <w:b/>
          <w:sz w:val="28"/>
          <w:szCs w:val="28"/>
        </w:rPr>
      </w:pP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Порядок формирования пенсионного капитала в ближайшие два года изменится</w:t>
      </w:r>
      <w:r w:rsidRPr="00116BF3">
        <w:rPr>
          <w:rFonts w:ascii="Times New Roman" w:hAnsi="Times New Roman"/>
          <w:color w:val="FF0000"/>
          <w:sz w:val="24"/>
          <w:szCs w:val="24"/>
        </w:rPr>
        <w:t xml:space="preserve"> </w:t>
      </w:r>
      <w:r w:rsidR="00116BF3">
        <w:rPr>
          <w:rFonts w:ascii="Times New Roman" w:hAnsi="Times New Roman"/>
          <w:sz w:val="24"/>
          <w:szCs w:val="24"/>
        </w:rPr>
        <w:t>Н</w:t>
      </w:r>
      <w:r>
        <w:rPr>
          <w:rFonts w:ascii="Times New Roman" w:hAnsi="Times New Roman"/>
          <w:sz w:val="24"/>
          <w:szCs w:val="24"/>
        </w:rPr>
        <w:t>акопительную часть</w:t>
      </w:r>
      <w:r w:rsidR="00116BF3">
        <w:rPr>
          <w:rFonts w:ascii="Times New Roman" w:hAnsi="Times New Roman"/>
          <w:sz w:val="24"/>
          <w:szCs w:val="24"/>
        </w:rPr>
        <w:t xml:space="preserve"> трудовой</w:t>
      </w:r>
      <w:r>
        <w:rPr>
          <w:rFonts w:ascii="Times New Roman" w:hAnsi="Times New Roman"/>
          <w:sz w:val="24"/>
          <w:szCs w:val="24"/>
        </w:rPr>
        <w:t xml:space="preserve"> пенсии </w:t>
      </w:r>
      <w:r w:rsidR="00116BF3" w:rsidRPr="004111E5">
        <w:rPr>
          <w:rFonts w:ascii="Times New Roman" w:hAnsi="Times New Roman"/>
          <w:color w:val="000000" w:themeColor="text1"/>
          <w:sz w:val="24"/>
          <w:szCs w:val="24"/>
        </w:rPr>
        <w:t xml:space="preserve">(с января 2015  - накопительную пенсию) </w:t>
      </w:r>
      <w:r w:rsidRPr="004111E5">
        <w:rPr>
          <w:rFonts w:ascii="Times New Roman" w:hAnsi="Times New Roman"/>
          <w:color w:val="000000" w:themeColor="text1"/>
          <w:sz w:val="24"/>
          <w:szCs w:val="24"/>
        </w:rPr>
        <w:t xml:space="preserve">будут </w:t>
      </w:r>
      <w:r>
        <w:rPr>
          <w:rFonts w:ascii="Times New Roman" w:hAnsi="Times New Roman"/>
          <w:sz w:val="24"/>
          <w:szCs w:val="24"/>
        </w:rPr>
        <w:t xml:space="preserve">получать только те, кто до конца 2016 года выведет свои накопления из Пенсионного фонда Российской Федерации (ПФР), либо заявит о желании сохранить накопление 6% от зарплаты в ПФР. Для всех остальных участие в системе пенсионных накоплений прекратится, а сумма, которая уже успела накопиться в ПФР, будет переведена в распределительную систему - на выплаты пенсий нынешним пенсионерам. </w:t>
      </w:r>
    </w:p>
    <w:p w:rsidR="00E87860" w:rsidRDefault="00E87860" w:rsidP="00E87860">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Участники распределительной системы будут получать пенсию, состоящую только из базовой и страховой компонент.</w:t>
      </w:r>
      <w:proofErr w:type="gramEnd"/>
      <w:r>
        <w:rPr>
          <w:rFonts w:ascii="Times New Roman" w:hAnsi="Times New Roman"/>
          <w:sz w:val="24"/>
          <w:szCs w:val="24"/>
        </w:rPr>
        <w:t xml:space="preserve"> Для получения базовой пенсии необходимо будет иметь стаж не менее 15 лет (сейчас 5 лет; норматив будет увеличиваться ежегодно на один год). Страховая часть пенсии будет формироваться в баллах в течение трудовой деятельности человека и к моменту выхода на пенсию будет переведена в рубли. При этом стоимость баллов при переводе заранее неизвестна.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Оставаться или нет в накопительной системе, каждый решает сам. В нынешних условиях «за» накопительную часть пенсии больше аргументов. В отличие от баллов, в которые будут переведены страховые взносы гражданина с 2014 года, накопительная часть пенсии всегда будет формироваться в рублях. Стоимость балла будет устанавливаться ежегодно, и прогнозировать ее на несколько лет или даже десятилетий не берется ни один эксперт. Более того, предполагается, что эта стоимость будет определяться из возможностей бюджета ПФР, и значит, при неблагоприятной </w:t>
      </w:r>
      <w:r>
        <w:rPr>
          <w:rFonts w:ascii="Times New Roman" w:hAnsi="Times New Roman"/>
          <w:sz w:val="24"/>
          <w:szCs w:val="24"/>
        </w:rPr>
        <w:lastRenderedPageBreak/>
        <w:t>конъюнктуре она вполне может снизиться. В случае с накопительной составляющей гражданин всегда может видеть ее в «живых» деньгах и четко понимать, что происходит с его средствами и при необходимости принимать решения по смене фонда для повышения или ограничения агрессивности инвестиционной политики. Также накопительный элемент пенсии</w:t>
      </w:r>
      <w:r w:rsidR="00116BF3">
        <w:rPr>
          <w:rFonts w:ascii="Times New Roman" w:hAnsi="Times New Roman"/>
          <w:sz w:val="24"/>
          <w:szCs w:val="24"/>
        </w:rPr>
        <w:t xml:space="preserve"> </w:t>
      </w:r>
      <w:r w:rsidR="00116BF3" w:rsidRPr="004111E5">
        <w:rPr>
          <w:rFonts w:ascii="Times New Roman" w:hAnsi="Times New Roman"/>
          <w:color w:val="000000" w:themeColor="text1"/>
          <w:sz w:val="24"/>
          <w:szCs w:val="24"/>
        </w:rPr>
        <w:t>(накопительной пенсии)</w:t>
      </w:r>
      <w:r w:rsidRPr="004111E5">
        <w:rPr>
          <w:rFonts w:ascii="Times New Roman" w:hAnsi="Times New Roman"/>
          <w:color w:val="000000" w:themeColor="text1"/>
          <w:sz w:val="24"/>
          <w:szCs w:val="24"/>
        </w:rPr>
        <w:t xml:space="preserve"> </w:t>
      </w:r>
      <w:r>
        <w:rPr>
          <w:rFonts w:ascii="Times New Roman" w:hAnsi="Times New Roman"/>
          <w:sz w:val="24"/>
          <w:szCs w:val="24"/>
        </w:rPr>
        <w:t>наследуется в случае смерти человека, а распределительные баллы «сгорают».</w:t>
      </w:r>
    </w:p>
    <w:p w:rsidR="00E87860" w:rsidRPr="0087037E" w:rsidRDefault="00E87860" w:rsidP="00E87860">
      <w:pPr>
        <w:spacing w:after="0" w:line="360" w:lineRule="auto"/>
        <w:ind w:firstLine="709"/>
        <w:jc w:val="both"/>
        <w:rPr>
          <w:rFonts w:ascii="Times New Roman" w:hAnsi="Times New Roman"/>
          <w:b/>
          <w:sz w:val="24"/>
          <w:szCs w:val="24"/>
        </w:rPr>
      </w:pPr>
      <w:r w:rsidRPr="0087037E">
        <w:rPr>
          <w:rFonts w:ascii="Times New Roman" w:hAnsi="Times New Roman"/>
          <w:b/>
          <w:sz w:val="24"/>
          <w:szCs w:val="24"/>
        </w:rPr>
        <w:t>Доходность – не панацея</w:t>
      </w:r>
    </w:p>
    <w:p w:rsidR="004111E5"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Итак, если работник решил сохранить накопительную часть пенсии, то ему необходимо выбрать между накоплением в Управляющей компании (УК), ПФР или Негосударственном пенсионном фонде (НПФ). К этому выбору необходимо подойти ответственно.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Самый простой критерий  выбора между НПФ, УК и ПФР – сравнить доходность инвестирования в этих институтах. </w:t>
      </w:r>
      <w:proofErr w:type="gramStart"/>
      <w:r>
        <w:rPr>
          <w:rFonts w:ascii="Times New Roman" w:hAnsi="Times New Roman"/>
          <w:sz w:val="24"/>
          <w:szCs w:val="24"/>
        </w:rPr>
        <w:t>Ведь</w:t>
      </w:r>
      <w:proofErr w:type="gramEnd"/>
      <w:r>
        <w:rPr>
          <w:rFonts w:ascii="Times New Roman" w:hAnsi="Times New Roman"/>
          <w:sz w:val="24"/>
          <w:szCs w:val="24"/>
        </w:rPr>
        <w:t xml:space="preserve"> в конечном счете для человека важно, чтобы его пенсионный капитал прирастал.</w:t>
      </w: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Таблица №1. Доходности ВЭБ и частных УК от инвестирования пенсионных</w:t>
      </w:r>
      <w:r>
        <w:rPr>
          <w:rFonts w:ascii="Times New Roman" w:hAnsi="Times New Roman"/>
          <w:b/>
          <w:sz w:val="24"/>
          <w:szCs w:val="24"/>
        </w:rPr>
        <w:t xml:space="preserve"> накоплений </w:t>
      </w:r>
      <w:r w:rsidRPr="00DC5009">
        <w:rPr>
          <w:rFonts w:ascii="Times New Roman" w:hAnsi="Times New Roman"/>
          <w:b/>
          <w:sz w:val="24"/>
          <w:szCs w:val="24"/>
        </w:rPr>
        <w:t>на 30.06.2013</w:t>
      </w:r>
    </w:p>
    <w:tbl>
      <w:tblPr>
        <w:tblW w:w="8031" w:type="dxa"/>
        <w:tblInd w:w="93" w:type="dxa"/>
        <w:tblLook w:val="00A0" w:firstRow="1" w:lastRow="0" w:firstColumn="1" w:lastColumn="0" w:noHBand="0" w:noVBand="0"/>
      </w:tblPr>
      <w:tblGrid>
        <w:gridCol w:w="6111"/>
        <w:gridCol w:w="960"/>
        <w:gridCol w:w="960"/>
      </w:tblGrid>
      <w:tr w:rsidR="00E87860" w:rsidRPr="00436287" w:rsidTr="00116BF3">
        <w:trPr>
          <w:trHeight w:val="312"/>
        </w:trPr>
        <w:tc>
          <w:tcPr>
            <w:tcW w:w="6111"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87860" w:rsidRPr="00D37E90" w:rsidRDefault="00E87860" w:rsidP="00E87860">
            <w:pPr>
              <w:spacing w:after="0" w:line="360" w:lineRule="auto"/>
              <w:ind w:firstLine="709"/>
              <w:jc w:val="both"/>
              <w:rPr>
                <w:rFonts w:ascii="Times New Roman" w:hAnsi="Times New Roman"/>
                <w:color w:val="FFFFFF"/>
                <w:sz w:val="24"/>
                <w:szCs w:val="24"/>
                <w:lang w:eastAsia="ru-RU"/>
              </w:rPr>
            </w:pPr>
            <w:r w:rsidRPr="00D37E90">
              <w:rPr>
                <w:rFonts w:ascii="Times New Roman" w:hAnsi="Times New Roman"/>
                <w:color w:val="FFFFFF"/>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FF0000"/>
            <w:noWrap/>
            <w:vAlign w:val="bottom"/>
          </w:tcPr>
          <w:p w:rsidR="00E87860" w:rsidRPr="00D37E90" w:rsidRDefault="00E87860" w:rsidP="00E87860">
            <w:pPr>
              <w:spacing w:after="0" w:line="360" w:lineRule="auto"/>
              <w:ind w:firstLine="709"/>
              <w:jc w:val="both"/>
              <w:rPr>
                <w:rFonts w:ascii="Times New Roman" w:hAnsi="Times New Roman"/>
                <w:color w:val="FFFFFF"/>
                <w:sz w:val="24"/>
                <w:szCs w:val="24"/>
                <w:lang w:eastAsia="ru-RU"/>
              </w:rPr>
            </w:pPr>
            <w:r w:rsidRPr="00D37E90">
              <w:rPr>
                <w:rFonts w:ascii="Times New Roman" w:hAnsi="Times New Roman"/>
                <w:color w:val="FFFFFF"/>
                <w:sz w:val="24"/>
                <w:szCs w:val="24"/>
                <w:lang w:eastAsia="ru-RU"/>
              </w:rPr>
              <w:t>3 года</w:t>
            </w:r>
          </w:p>
        </w:tc>
        <w:tc>
          <w:tcPr>
            <w:tcW w:w="960" w:type="dxa"/>
            <w:tcBorders>
              <w:top w:val="single" w:sz="4" w:space="0" w:color="auto"/>
              <w:left w:val="nil"/>
              <w:bottom w:val="single" w:sz="4" w:space="0" w:color="auto"/>
              <w:right w:val="single" w:sz="4" w:space="0" w:color="auto"/>
            </w:tcBorders>
            <w:shd w:val="clear" w:color="auto" w:fill="FF0000"/>
            <w:noWrap/>
            <w:vAlign w:val="bottom"/>
          </w:tcPr>
          <w:p w:rsidR="00E87860" w:rsidRPr="00D37E90" w:rsidRDefault="00E87860" w:rsidP="00E87860">
            <w:pPr>
              <w:spacing w:after="0" w:line="360" w:lineRule="auto"/>
              <w:ind w:firstLine="709"/>
              <w:jc w:val="both"/>
              <w:rPr>
                <w:rFonts w:ascii="Times New Roman" w:hAnsi="Times New Roman"/>
                <w:color w:val="FFFFFF"/>
                <w:sz w:val="24"/>
                <w:szCs w:val="24"/>
                <w:lang w:eastAsia="ru-RU"/>
              </w:rPr>
            </w:pPr>
            <w:r w:rsidRPr="00D37E90">
              <w:rPr>
                <w:rFonts w:ascii="Times New Roman" w:hAnsi="Times New Roman"/>
                <w:color w:val="FFFFFF"/>
                <w:sz w:val="24"/>
                <w:szCs w:val="24"/>
                <w:lang w:eastAsia="ru-RU"/>
              </w:rPr>
              <w:t>5 лет</w:t>
            </w:r>
          </w:p>
        </w:tc>
      </w:tr>
      <w:tr w:rsidR="00E87860" w:rsidRPr="00436287" w:rsidTr="00116BF3">
        <w:trPr>
          <w:trHeight w:val="312"/>
        </w:trPr>
        <w:tc>
          <w:tcPr>
            <w:tcW w:w="6111" w:type="dxa"/>
            <w:tcBorders>
              <w:top w:val="nil"/>
              <w:left w:val="single" w:sz="4" w:space="0" w:color="auto"/>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 xml:space="preserve">Доходность в % </w:t>
            </w:r>
            <w:proofErr w:type="gramStart"/>
            <w:r w:rsidRPr="00D37E90">
              <w:rPr>
                <w:rFonts w:ascii="Times New Roman" w:hAnsi="Times New Roman"/>
                <w:color w:val="000000"/>
                <w:sz w:val="24"/>
                <w:szCs w:val="24"/>
                <w:lang w:eastAsia="ru-RU"/>
              </w:rPr>
              <w:t>годовых</w:t>
            </w:r>
            <w:proofErr w:type="gramEnd"/>
            <w:r w:rsidRPr="00D37E90">
              <w:rPr>
                <w:rFonts w:ascii="Times New Roman" w:hAnsi="Times New Roman"/>
                <w:color w:val="000000"/>
                <w:sz w:val="24"/>
                <w:szCs w:val="24"/>
                <w:lang w:eastAsia="ru-RU"/>
              </w:rPr>
              <w:t xml:space="preserve"> ВЭБ, портфель Расширенный</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22,81</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44,75</w:t>
            </w:r>
          </w:p>
        </w:tc>
      </w:tr>
      <w:tr w:rsidR="00E87860" w:rsidRPr="00436287" w:rsidTr="00116BF3">
        <w:trPr>
          <w:trHeight w:val="312"/>
        </w:trPr>
        <w:tc>
          <w:tcPr>
            <w:tcW w:w="6111" w:type="dxa"/>
            <w:tcBorders>
              <w:top w:val="nil"/>
              <w:left w:val="single" w:sz="4" w:space="0" w:color="auto"/>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 xml:space="preserve">Доходность в % </w:t>
            </w:r>
            <w:proofErr w:type="gramStart"/>
            <w:r w:rsidRPr="00D37E90">
              <w:rPr>
                <w:rFonts w:ascii="Times New Roman" w:hAnsi="Times New Roman"/>
                <w:color w:val="000000"/>
                <w:sz w:val="24"/>
                <w:szCs w:val="24"/>
                <w:lang w:eastAsia="ru-RU"/>
              </w:rPr>
              <w:t>годовых</w:t>
            </w:r>
            <w:proofErr w:type="gramEnd"/>
            <w:r w:rsidRPr="00D37E90">
              <w:rPr>
                <w:rFonts w:ascii="Times New Roman" w:hAnsi="Times New Roman"/>
                <w:color w:val="000000"/>
                <w:sz w:val="24"/>
                <w:szCs w:val="24"/>
                <w:lang w:eastAsia="ru-RU"/>
              </w:rPr>
              <w:t xml:space="preserve"> ВЭБ, портфель ГЦБ</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22,84</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40,48</w:t>
            </w:r>
          </w:p>
        </w:tc>
      </w:tr>
      <w:tr w:rsidR="00E87860" w:rsidRPr="00436287" w:rsidTr="00116BF3">
        <w:trPr>
          <w:trHeight w:val="312"/>
        </w:trPr>
        <w:tc>
          <w:tcPr>
            <w:tcW w:w="6111" w:type="dxa"/>
            <w:tcBorders>
              <w:top w:val="nil"/>
              <w:left w:val="single" w:sz="4" w:space="0" w:color="auto"/>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Средневзвешенная доходность в % годовых частных УК</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6,69</w:t>
            </w:r>
          </w:p>
        </w:tc>
        <w:tc>
          <w:tcPr>
            <w:tcW w:w="960" w:type="dxa"/>
            <w:tcBorders>
              <w:top w:val="nil"/>
              <w:left w:val="nil"/>
              <w:bottom w:val="single" w:sz="4" w:space="0" w:color="auto"/>
              <w:right w:val="single" w:sz="4" w:space="0" w:color="auto"/>
            </w:tcBorders>
            <w:noWrap/>
            <w:vAlign w:val="bottom"/>
          </w:tcPr>
          <w:p w:rsidR="00E87860" w:rsidRPr="00D37E90" w:rsidRDefault="00E87860" w:rsidP="00E87860">
            <w:pPr>
              <w:spacing w:after="0" w:line="360" w:lineRule="auto"/>
              <w:ind w:firstLine="709"/>
              <w:jc w:val="both"/>
              <w:rPr>
                <w:rFonts w:ascii="Times New Roman" w:hAnsi="Times New Roman"/>
                <w:color w:val="000000"/>
                <w:sz w:val="24"/>
                <w:szCs w:val="24"/>
                <w:lang w:eastAsia="ru-RU"/>
              </w:rPr>
            </w:pPr>
            <w:r w:rsidRPr="00D37E90">
              <w:rPr>
                <w:rFonts w:ascii="Times New Roman" w:hAnsi="Times New Roman"/>
                <w:color w:val="000000"/>
                <w:sz w:val="24"/>
                <w:szCs w:val="24"/>
                <w:lang w:eastAsia="ru-RU"/>
              </w:rPr>
              <w:t>72,22</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НЛУ</w:t>
      </w:r>
    </w:p>
    <w:p w:rsidR="00E87860" w:rsidRDefault="00E87860" w:rsidP="00E87860">
      <w:pPr>
        <w:spacing w:after="0" w:line="360" w:lineRule="auto"/>
        <w:ind w:firstLine="709"/>
        <w:jc w:val="both"/>
        <w:rPr>
          <w:rFonts w:ascii="Times New Roman" w:hAnsi="Times New Roman"/>
          <w:sz w:val="24"/>
          <w:szCs w:val="24"/>
        </w:rPr>
      </w:pPr>
      <w:r w:rsidRPr="00A82816">
        <w:rPr>
          <w:rFonts w:ascii="Times New Roman" w:hAnsi="Times New Roman"/>
          <w:sz w:val="24"/>
          <w:szCs w:val="24"/>
        </w:rPr>
        <w:t xml:space="preserve">Несмотря на </w:t>
      </w:r>
      <w:r>
        <w:rPr>
          <w:rFonts w:ascii="Times New Roman" w:hAnsi="Times New Roman"/>
          <w:sz w:val="24"/>
          <w:szCs w:val="24"/>
        </w:rPr>
        <w:t xml:space="preserve">то, что в долгосрочной перспективе </w:t>
      </w:r>
      <w:r w:rsidRPr="00A82816">
        <w:rPr>
          <w:rFonts w:ascii="Times New Roman" w:hAnsi="Times New Roman"/>
          <w:sz w:val="24"/>
          <w:szCs w:val="24"/>
        </w:rPr>
        <w:t>доходность</w:t>
      </w:r>
      <w:r>
        <w:rPr>
          <w:rFonts w:ascii="Times New Roman" w:hAnsi="Times New Roman"/>
          <w:sz w:val="24"/>
          <w:szCs w:val="24"/>
        </w:rPr>
        <w:t>, которую показываю</w:t>
      </w:r>
      <w:r w:rsidRPr="00A82816">
        <w:rPr>
          <w:rFonts w:ascii="Times New Roman" w:hAnsi="Times New Roman"/>
          <w:sz w:val="24"/>
          <w:szCs w:val="24"/>
        </w:rPr>
        <w:t xml:space="preserve">т </w:t>
      </w:r>
      <w:r>
        <w:rPr>
          <w:rFonts w:ascii="Times New Roman" w:hAnsi="Times New Roman"/>
          <w:sz w:val="24"/>
          <w:szCs w:val="24"/>
        </w:rPr>
        <w:t>частные УК, выше доходности ВЭБ (управляет накоплениями ПФР)</w:t>
      </w:r>
      <w:r w:rsidRPr="00A82816">
        <w:rPr>
          <w:rFonts w:ascii="Times New Roman" w:hAnsi="Times New Roman"/>
          <w:sz w:val="24"/>
          <w:szCs w:val="24"/>
        </w:rPr>
        <w:t xml:space="preserve">, </w:t>
      </w:r>
      <w:r>
        <w:rPr>
          <w:rFonts w:ascii="Times New Roman" w:hAnsi="Times New Roman"/>
          <w:sz w:val="24"/>
          <w:szCs w:val="24"/>
        </w:rPr>
        <w:t>последний</w:t>
      </w:r>
      <w:r w:rsidRPr="00A82816">
        <w:rPr>
          <w:rFonts w:ascii="Times New Roman" w:hAnsi="Times New Roman"/>
          <w:sz w:val="24"/>
          <w:szCs w:val="24"/>
        </w:rPr>
        <w:t xml:space="preserve"> пользуется пока наибольшим доверием.</w:t>
      </w:r>
      <w:r>
        <w:rPr>
          <w:rFonts w:ascii="Times New Roman" w:hAnsi="Times New Roman"/>
          <w:sz w:val="24"/>
          <w:szCs w:val="24"/>
        </w:rPr>
        <w:t xml:space="preserve"> Почти 74% застрахованных лиц формируют свои накопления в ПФР.</w:t>
      </w:r>
      <w:r w:rsidRPr="00A82816">
        <w:rPr>
          <w:rFonts w:ascii="Times New Roman" w:hAnsi="Times New Roman"/>
          <w:sz w:val="24"/>
          <w:szCs w:val="24"/>
        </w:rPr>
        <w:t xml:space="preserve"> </w:t>
      </w:r>
      <w:r>
        <w:rPr>
          <w:rFonts w:ascii="Times New Roman" w:hAnsi="Times New Roman"/>
          <w:sz w:val="24"/>
          <w:szCs w:val="24"/>
        </w:rPr>
        <w:t xml:space="preserve">По итогам переходной кампании 2013 года эта структура должна будет существенно измениться, поскольку о переходе из ПФР в НПФ заявили, по предварительным оценкам, более 6 </w:t>
      </w:r>
      <w:proofErr w:type="gramStart"/>
      <w:r>
        <w:rPr>
          <w:rFonts w:ascii="Times New Roman" w:hAnsi="Times New Roman"/>
          <w:sz w:val="24"/>
          <w:szCs w:val="24"/>
        </w:rPr>
        <w:t>млн</w:t>
      </w:r>
      <w:proofErr w:type="gramEnd"/>
      <w:r>
        <w:rPr>
          <w:rFonts w:ascii="Times New Roman" w:hAnsi="Times New Roman"/>
          <w:sz w:val="24"/>
          <w:szCs w:val="24"/>
        </w:rPr>
        <w:t xml:space="preserve"> человек.</w:t>
      </w:r>
    </w:p>
    <w:p w:rsidR="00E87860" w:rsidRPr="00932D93"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График №1. Распределение застрахованных лиц на 31.03.2013 (после переходной</w:t>
      </w:r>
      <w:r>
        <w:rPr>
          <w:rFonts w:ascii="Times New Roman" w:hAnsi="Times New Roman"/>
          <w:b/>
          <w:sz w:val="24"/>
          <w:szCs w:val="24"/>
        </w:rPr>
        <w:t xml:space="preserve"> кампании 2012 года)</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086DF233" wp14:editId="7CF1418D">
            <wp:extent cx="4572000" cy="2743200"/>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ПФР</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Если выбор стоит между УК и НПФ, то фонды выглядят более выигрышно. Дело в том, что непосредственным управлением пенсионными накоплениями занимаются УК. По законодательству сами НПФ не занимаются инвестированием пенсионных накоплений, все средства они передают в УК. При передаче своих пенсионных накоплений напрямую в УК человек должен будет сам следить за результатами управления управляющего, проводить оценку эффективности принимаемых инвестиционных решений. При этом вся сервисная часть пенсионного обеспечения – ведение учета, распределение дохода по счетам, представление результатов, расчет пенсии -  будет лежать на ПФР.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Переходя в НПФ, человек может рассчитывать на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надежностью и эффективностью УК (их может быть несколько) со стороны фонда. Многие крупные фонды были созданы еще в 1990-х гг. для обеспечения корпоративных программ по негосударственному пенсионному обеспечению работников промышленных предприятий. Они обладают значительным опытом сотрудничества с УК и могут гарантировать квалифицированную помощь в этом вопросе. </w:t>
      </w:r>
    </w:p>
    <w:p w:rsidR="00E87860" w:rsidRDefault="00E87860" w:rsidP="00E87860">
      <w:pPr>
        <w:spacing w:after="0" w:line="360" w:lineRule="auto"/>
        <w:ind w:firstLine="709"/>
        <w:jc w:val="both"/>
        <w:rPr>
          <w:rFonts w:ascii="Times New Roman" w:hAnsi="Times New Roman"/>
          <w:b/>
          <w:sz w:val="24"/>
          <w:szCs w:val="24"/>
        </w:rPr>
      </w:pPr>
    </w:p>
    <w:p w:rsidR="00E87860" w:rsidRPr="001E27CB" w:rsidRDefault="00E87860" w:rsidP="00E87860">
      <w:pPr>
        <w:spacing w:after="0" w:line="360" w:lineRule="auto"/>
        <w:ind w:firstLine="709"/>
        <w:jc w:val="both"/>
        <w:rPr>
          <w:rFonts w:ascii="Times New Roman" w:hAnsi="Times New Roman"/>
          <w:b/>
          <w:sz w:val="24"/>
          <w:szCs w:val="24"/>
        </w:rPr>
      </w:pPr>
      <w:r w:rsidRPr="00306253">
        <w:rPr>
          <w:rFonts w:ascii="Times New Roman" w:hAnsi="Times New Roman"/>
          <w:b/>
          <w:sz w:val="24"/>
          <w:szCs w:val="24"/>
        </w:rPr>
        <w:t>Ключ – в надежности</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Что же делать тем, кто решил перевести свои накопления в НПФ? Необходимо выбрать наилучший фонд с точки зрения надежности и доходности. Будущий пенсионер сам может собрать всю имеющуюся информацию о деятельности фондов в интернете, посетить центральные офисы или региональные представительства фондов, и решить для себя этот вопрос. Однако надо не забывать, что многие аспекты деятельности фондов обычный человек может не оценить в силу того, что они требуют экономического образования и навыков финансового анализа.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Например, качество </w:t>
      </w:r>
      <w:proofErr w:type="gramStart"/>
      <w:r>
        <w:rPr>
          <w:rFonts w:ascii="Times New Roman" w:hAnsi="Times New Roman"/>
          <w:sz w:val="24"/>
          <w:szCs w:val="24"/>
        </w:rPr>
        <w:t>риск-менеджмента</w:t>
      </w:r>
      <w:proofErr w:type="gramEnd"/>
      <w:r>
        <w:rPr>
          <w:rFonts w:ascii="Times New Roman" w:hAnsi="Times New Roman"/>
          <w:sz w:val="24"/>
          <w:szCs w:val="24"/>
        </w:rPr>
        <w:t xml:space="preserve"> (системы управления рисками фонда). У большинства фондов на сайте нет никакой информации о </w:t>
      </w:r>
      <w:proofErr w:type="gramStart"/>
      <w:r>
        <w:rPr>
          <w:rFonts w:ascii="Times New Roman" w:hAnsi="Times New Roman"/>
          <w:sz w:val="24"/>
          <w:szCs w:val="24"/>
        </w:rPr>
        <w:t>риск-менеджменте</w:t>
      </w:r>
      <w:proofErr w:type="gramEnd"/>
      <w:r>
        <w:rPr>
          <w:rFonts w:ascii="Times New Roman" w:hAnsi="Times New Roman"/>
          <w:sz w:val="24"/>
          <w:szCs w:val="24"/>
        </w:rPr>
        <w:t xml:space="preserve">. Между тем от качества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рисками зависят многие показатели и характеристики фонда, его способность зарабатывать для своих клиентов. Качественный риск-менеджмент предполагает, в частности, и эффективный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инвестиционными рисками. Чтобы оценить этот аспект деятельности НПФ, нужно понимать, как фонд выбирает УК, каким образом осуществляется контроль за деятельностью УК, какое программное обеспечение используется в фонде для снижения рисков «человеческого фактора» </w:t>
      </w:r>
      <w:proofErr w:type="gramStart"/>
      <w:r>
        <w:rPr>
          <w:rFonts w:ascii="Times New Roman" w:hAnsi="Times New Roman"/>
          <w:sz w:val="24"/>
          <w:szCs w:val="24"/>
        </w:rPr>
        <w:t>при</w:t>
      </w:r>
      <w:proofErr w:type="gramEnd"/>
      <w:r>
        <w:rPr>
          <w:rFonts w:ascii="Times New Roman" w:hAnsi="Times New Roman"/>
          <w:sz w:val="24"/>
          <w:szCs w:val="24"/>
        </w:rPr>
        <w:t xml:space="preserve"> </w:t>
      </w:r>
      <w:proofErr w:type="gramStart"/>
      <w:r>
        <w:rPr>
          <w:rFonts w:ascii="Times New Roman" w:hAnsi="Times New Roman"/>
          <w:sz w:val="24"/>
          <w:szCs w:val="24"/>
        </w:rPr>
        <w:t>различного</w:t>
      </w:r>
      <w:proofErr w:type="gramEnd"/>
      <w:r>
        <w:rPr>
          <w:rFonts w:ascii="Times New Roman" w:hAnsi="Times New Roman"/>
          <w:sz w:val="24"/>
          <w:szCs w:val="24"/>
        </w:rPr>
        <w:t xml:space="preserve"> рода проверках.</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Другой важной характеристикой фонда является размер капитала (у фондов он называется ИОУД – имущество для обеспечения уставной деятельности). </w:t>
      </w:r>
      <w:r w:rsidR="00EC5147" w:rsidRPr="004111E5">
        <w:rPr>
          <w:rFonts w:ascii="Times New Roman" w:hAnsi="Times New Roman"/>
          <w:color w:val="000000" w:themeColor="text1"/>
          <w:sz w:val="24"/>
          <w:szCs w:val="24"/>
        </w:rPr>
        <w:t xml:space="preserve">После акционирования НПФ, согласно новому законодательству, - собственные средства фонда. </w:t>
      </w:r>
      <w:r>
        <w:rPr>
          <w:rFonts w:ascii="Times New Roman" w:hAnsi="Times New Roman"/>
          <w:sz w:val="24"/>
          <w:szCs w:val="24"/>
        </w:rPr>
        <w:t xml:space="preserve">Это общедоступная информация, которая ежеквартально публикуется на сайте Службы Банка России по финансовым рынкам (СБРФР). Но при этом будущий пенсионер не всегда сможет корректно оценить достаточность абсолютного размера капитала, а также соотношение ИОУД и пенсионных накоплений.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Многие инвесторы фондов (по сути - собственники) не формируют значительный запас ИОУД по сравнению с нормативным минимумом, зато постоянно пополняют его и инвестируют средства на развитие фонда. Поэтому, несмотря на относительно низкий размер ИОУД и его достаточности по отношению к пенсионным накоплениям, фонд может обладать хорошей финансовой поддержкой со стороны учредителя. </w:t>
      </w: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 xml:space="preserve">Таблица №2. </w:t>
      </w:r>
      <w:proofErr w:type="gramStart"/>
      <w:r w:rsidRPr="00D37E90">
        <w:rPr>
          <w:rFonts w:ascii="Times New Roman" w:hAnsi="Times New Roman"/>
          <w:b/>
          <w:sz w:val="24"/>
          <w:szCs w:val="24"/>
        </w:rPr>
        <w:t>Крупнейшие</w:t>
      </w:r>
      <w:proofErr w:type="gramEnd"/>
      <w:r w:rsidRPr="00D37E90">
        <w:rPr>
          <w:rFonts w:ascii="Times New Roman" w:hAnsi="Times New Roman"/>
          <w:b/>
          <w:sz w:val="24"/>
          <w:szCs w:val="24"/>
        </w:rPr>
        <w:t xml:space="preserve"> НПФ по объему ИОУД на 30.09.2013</w:t>
      </w:r>
    </w:p>
    <w:tbl>
      <w:tblPr>
        <w:tblW w:w="9766" w:type="dxa"/>
        <w:tblInd w:w="-176" w:type="dxa"/>
        <w:tblLook w:val="00A0" w:firstRow="1" w:lastRow="0" w:firstColumn="1" w:lastColumn="0" w:noHBand="0" w:noVBand="0"/>
      </w:tblPr>
      <w:tblGrid>
        <w:gridCol w:w="1276"/>
        <w:gridCol w:w="1275"/>
        <w:gridCol w:w="2977"/>
        <w:gridCol w:w="1418"/>
        <w:gridCol w:w="1275"/>
        <w:gridCol w:w="1545"/>
      </w:tblGrid>
      <w:tr w:rsidR="00E87860" w:rsidRPr="00436287" w:rsidTr="00116BF3">
        <w:trPr>
          <w:trHeight w:val="1320"/>
        </w:trPr>
        <w:tc>
          <w:tcPr>
            <w:tcW w:w="1276" w:type="dxa"/>
            <w:tcBorders>
              <w:top w:val="single" w:sz="4" w:space="0" w:color="auto"/>
              <w:left w:val="single" w:sz="4" w:space="0" w:color="auto"/>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Место по объёму ИОУД на 30.09.2013, по данным СБРФР</w:t>
            </w:r>
          </w:p>
        </w:tc>
        <w:tc>
          <w:tcPr>
            <w:tcW w:w="1275"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Место по объёму ИОУД на 30.06.2013, по данным СБРФР</w:t>
            </w:r>
          </w:p>
        </w:tc>
        <w:tc>
          <w:tcPr>
            <w:tcW w:w="2977"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Фонд</w:t>
            </w:r>
          </w:p>
        </w:tc>
        <w:tc>
          <w:tcPr>
            <w:tcW w:w="1418"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 xml:space="preserve">Рейтинг надежности НПФ </w:t>
            </w:r>
            <w:proofErr w:type="gramStart"/>
            <w:r w:rsidRPr="00C12EA3">
              <w:rPr>
                <w:rFonts w:ascii="Times New Roman" w:hAnsi="Times New Roman"/>
                <w:color w:val="FFFFFF"/>
                <w:sz w:val="20"/>
                <w:szCs w:val="20"/>
                <w:lang w:eastAsia="ru-RU"/>
              </w:rPr>
              <w:t>от</w:t>
            </w:r>
            <w:proofErr w:type="gramEnd"/>
            <w:r w:rsidRPr="00C12EA3">
              <w:rPr>
                <w:rFonts w:ascii="Times New Roman" w:hAnsi="Times New Roman"/>
                <w:color w:val="FFFFFF"/>
                <w:sz w:val="20"/>
                <w:szCs w:val="20"/>
                <w:lang w:eastAsia="ru-RU"/>
              </w:rPr>
              <w:t xml:space="preserve"> "</w:t>
            </w:r>
            <w:proofErr w:type="gramStart"/>
            <w:r w:rsidRPr="00C12EA3">
              <w:rPr>
                <w:rFonts w:ascii="Times New Roman" w:hAnsi="Times New Roman"/>
                <w:color w:val="FFFFFF"/>
                <w:sz w:val="20"/>
                <w:szCs w:val="20"/>
                <w:lang w:eastAsia="ru-RU"/>
              </w:rPr>
              <w:t>Эксперт</w:t>
            </w:r>
            <w:proofErr w:type="gramEnd"/>
            <w:r w:rsidRPr="00C12EA3">
              <w:rPr>
                <w:rFonts w:ascii="Times New Roman" w:hAnsi="Times New Roman"/>
                <w:color w:val="FFFFFF"/>
                <w:sz w:val="20"/>
                <w:szCs w:val="20"/>
                <w:lang w:eastAsia="ru-RU"/>
              </w:rPr>
              <w:t xml:space="preserve"> РА"</w:t>
            </w:r>
          </w:p>
        </w:tc>
        <w:tc>
          <w:tcPr>
            <w:tcW w:w="1275"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Объём ИОУД на 30.09.2013, млн. рублей</w:t>
            </w:r>
          </w:p>
        </w:tc>
        <w:tc>
          <w:tcPr>
            <w:tcW w:w="1545" w:type="dxa"/>
            <w:tcBorders>
              <w:top w:val="single" w:sz="4" w:space="0" w:color="auto"/>
              <w:left w:val="nil"/>
              <w:bottom w:val="single" w:sz="4" w:space="0" w:color="auto"/>
              <w:right w:val="single" w:sz="4" w:space="0" w:color="auto"/>
            </w:tcBorders>
            <w:shd w:val="clear" w:color="000000" w:fill="FF0000"/>
            <w:vAlign w:val="center"/>
          </w:tcPr>
          <w:p w:rsidR="00E87860" w:rsidRPr="00C12EA3" w:rsidRDefault="00E87860" w:rsidP="00E87860">
            <w:pPr>
              <w:spacing w:after="0" w:line="360" w:lineRule="auto"/>
              <w:ind w:firstLine="709"/>
              <w:jc w:val="both"/>
              <w:rPr>
                <w:rFonts w:ascii="Times New Roman" w:hAnsi="Times New Roman"/>
                <w:color w:val="FFFFFF"/>
                <w:sz w:val="20"/>
                <w:szCs w:val="20"/>
                <w:lang w:eastAsia="ru-RU"/>
              </w:rPr>
            </w:pPr>
            <w:r w:rsidRPr="00C12EA3">
              <w:rPr>
                <w:rFonts w:ascii="Times New Roman" w:hAnsi="Times New Roman"/>
                <w:color w:val="FFFFFF"/>
                <w:sz w:val="20"/>
                <w:szCs w:val="20"/>
                <w:lang w:eastAsia="ru-RU"/>
              </w:rPr>
              <w:t>Отношение ИОУД к пенсионным обязательствам фонда на 30.09.2013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"ГАЗФОНД"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33 788</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9,2%</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НО "НПФ ЛУКОЙЛ-ГАРАНТ"</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25 632</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17,7%</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3</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3</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"Сургутнефтегаз"</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16 734</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139,1%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"БЛАГОСОСТОЯНИЕ"</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3 259</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1,1%</w:t>
            </w:r>
          </w:p>
        </w:tc>
      </w:tr>
      <w:tr w:rsidR="00E87860" w:rsidRPr="00436287" w:rsidTr="00116BF3">
        <w:trPr>
          <w:trHeight w:val="390"/>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lastRenderedPageBreak/>
              <w:t>5</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5</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НОНПФ Национальный негосударственный пенсионный 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2 026</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8,8%</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6</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7</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"РЕГИОНФОНД"</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1 351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7</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8</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"Профессиональный"</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1 311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35,7%</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8</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6</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w:t>
            </w:r>
            <w:proofErr w:type="spellStart"/>
            <w:r w:rsidRPr="00C12EA3">
              <w:rPr>
                <w:rFonts w:ascii="Times New Roman" w:hAnsi="Times New Roman"/>
                <w:sz w:val="20"/>
                <w:szCs w:val="20"/>
                <w:lang w:eastAsia="ru-RU"/>
              </w:rPr>
              <w:t>Промагрофонд</w:t>
            </w:r>
            <w:proofErr w:type="spellEnd"/>
            <w:r w:rsidRPr="00C12EA3">
              <w:rPr>
                <w:rFonts w:ascii="Times New Roman" w:hAnsi="Times New Roman"/>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1 278</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электроэнергетики</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1 209</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9</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"МЕЧЕЛ-ФОНД"</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1 117</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11</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11</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"ПОДДЕРЖКА"</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773</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46,9%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12</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Сбербанка</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680</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0,9%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13</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14</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w:t>
            </w:r>
            <w:proofErr w:type="spellStart"/>
            <w:r w:rsidRPr="00C12EA3">
              <w:rPr>
                <w:rFonts w:ascii="Times New Roman" w:hAnsi="Times New Roman"/>
                <w:sz w:val="20"/>
                <w:szCs w:val="20"/>
                <w:lang w:eastAsia="ru-RU"/>
              </w:rPr>
              <w:t>Транснефть</w:t>
            </w:r>
            <w:proofErr w:type="spellEnd"/>
            <w:r w:rsidRPr="00C12EA3">
              <w:rPr>
                <w:rFonts w:ascii="Times New Roman" w:hAnsi="Times New Roman"/>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675</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1,2%</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14</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12</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"РГС"</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608</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15</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22</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"Согласие"</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604</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20,3%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16</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18</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"Европейский пенсионный 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545</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4,5%</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17</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15</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Ханты-Мансийский НПФ</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487</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18</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16</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"УГМК-Перспектива"</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431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7,5%</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19</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17</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"Сибирский Сберегательный"</w:t>
            </w:r>
          </w:p>
        </w:tc>
        <w:tc>
          <w:tcPr>
            <w:tcW w:w="1418" w:type="dxa"/>
            <w:tcBorders>
              <w:top w:val="nil"/>
              <w:left w:val="nil"/>
              <w:bottom w:val="single" w:sz="4" w:space="0" w:color="auto"/>
              <w:right w:val="single" w:sz="4" w:space="0" w:color="auto"/>
            </w:tcBorders>
            <w:noWrap/>
            <w:vAlign w:val="center"/>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421</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199,6%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20</w:t>
            </w:r>
          </w:p>
        </w:tc>
        <w:tc>
          <w:tcPr>
            <w:tcW w:w="127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20</w:t>
            </w:r>
          </w:p>
        </w:tc>
        <w:tc>
          <w:tcPr>
            <w:tcW w:w="2977"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НПФ "Первый Русский Пенсионный Фонд"</w:t>
            </w:r>
          </w:p>
        </w:tc>
        <w:tc>
          <w:tcPr>
            <w:tcW w:w="1418"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А</w:t>
            </w:r>
          </w:p>
        </w:tc>
        <w:tc>
          <w:tcPr>
            <w:tcW w:w="1275" w:type="dxa"/>
            <w:tcBorders>
              <w:top w:val="nil"/>
              <w:left w:val="nil"/>
              <w:bottom w:val="single" w:sz="4" w:space="0" w:color="auto"/>
              <w:right w:val="single" w:sz="4" w:space="0" w:color="auto"/>
            </w:tcBorders>
            <w:vAlign w:val="center"/>
          </w:tcPr>
          <w:p w:rsidR="00E87860" w:rsidRPr="00C12EA3" w:rsidRDefault="00E87860" w:rsidP="00E87860">
            <w:pPr>
              <w:spacing w:after="0" w:line="360" w:lineRule="auto"/>
              <w:ind w:firstLine="709"/>
              <w:jc w:val="both"/>
              <w:rPr>
                <w:rFonts w:ascii="Times New Roman" w:hAnsi="Times New Roman"/>
                <w:sz w:val="20"/>
                <w:szCs w:val="20"/>
                <w:lang w:eastAsia="ru-RU"/>
              </w:rPr>
            </w:pPr>
            <w:r w:rsidRPr="00C12EA3">
              <w:rPr>
                <w:rFonts w:ascii="Times New Roman" w:hAnsi="Times New Roman"/>
                <w:sz w:val="20"/>
                <w:szCs w:val="20"/>
                <w:lang w:eastAsia="ru-RU"/>
              </w:rPr>
              <w:t>404</w:t>
            </w:r>
          </w:p>
        </w:tc>
        <w:tc>
          <w:tcPr>
            <w:tcW w:w="1545" w:type="dxa"/>
            <w:tcBorders>
              <w:top w:val="nil"/>
              <w:left w:val="nil"/>
              <w:bottom w:val="single" w:sz="4" w:space="0" w:color="auto"/>
              <w:right w:val="single" w:sz="4" w:space="0" w:color="auto"/>
            </w:tcBorders>
            <w:noWrap/>
            <w:vAlign w:val="bottom"/>
          </w:tcPr>
          <w:p w:rsidR="00E87860" w:rsidRPr="00C12EA3" w:rsidRDefault="00E87860" w:rsidP="00E87860">
            <w:pPr>
              <w:spacing w:after="0" w:line="360" w:lineRule="auto"/>
              <w:ind w:firstLine="709"/>
              <w:jc w:val="both"/>
              <w:rPr>
                <w:rFonts w:ascii="Times New Roman" w:hAnsi="Times New Roman"/>
                <w:color w:val="000000"/>
                <w:sz w:val="20"/>
                <w:szCs w:val="20"/>
                <w:lang w:eastAsia="ru-RU"/>
              </w:rPr>
            </w:pPr>
            <w:r w:rsidRPr="00C12EA3">
              <w:rPr>
                <w:rFonts w:ascii="Times New Roman" w:hAnsi="Times New Roman"/>
                <w:color w:val="000000"/>
                <w:sz w:val="20"/>
                <w:szCs w:val="20"/>
                <w:lang w:eastAsia="ru-RU"/>
              </w:rPr>
              <w:t>10,1%</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СБРФР</w:t>
      </w:r>
    </w:p>
    <w:p w:rsidR="00E87860" w:rsidRDefault="00E87860" w:rsidP="00E87860">
      <w:pPr>
        <w:spacing w:after="0" w:line="360" w:lineRule="auto"/>
        <w:ind w:firstLine="709"/>
        <w:jc w:val="both"/>
        <w:rPr>
          <w:rFonts w:ascii="Times New Roman" w:hAnsi="Times New Roman"/>
          <w:b/>
          <w:sz w:val="24"/>
          <w:szCs w:val="24"/>
        </w:rPr>
      </w:pPr>
      <w:r>
        <w:rPr>
          <w:rFonts w:ascii="Times New Roman" w:hAnsi="Times New Roman"/>
          <w:b/>
          <w:sz w:val="24"/>
          <w:szCs w:val="24"/>
        </w:rPr>
        <w:t>Следить за акционированием</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Пенсионная реформа предполагает также введения обязательного акционирования фондов. НПФ, специализирующиеся на рынке Обязательного пенсионного страхования (ОПС), должны будут акционироваться до конца 2016 года. </w:t>
      </w:r>
      <w:r w:rsidRPr="00FF1651">
        <w:rPr>
          <w:rFonts w:ascii="Times New Roman" w:hAnsi="Times New Roman"/>
          <w:sz w:val="24"/>
          <w:szCs w:val="24"/>
        </w:rPr>
        <w:t>Эта м</w:t>
      </w:r>
      <w:r>
        <w:rPr>
          <w:rFonts w:ascii="Times New Roman" w:hAnsi="Times New Roman"/>
          <w:sz w:val="24"/>
          <w:szCs w:val="24"/>
        </w:rPr>
        <w:t>ера</w:t>
      </w:r>
      <w:r w:rsidRPr="00B73B12">
        <w:rPr>
          <w:rFonts w:ascii="Times New Roman" w:hAnsi="Times New Roman"/>
          <w:sz w:val="24"/>
          <w:szCs w:val="24"/>
        </w:rPr>
        <w:t xml:space="preserve"> </w:t>
      </w:r>
      <w:r>
        <w:rPr>
          <w:rFonts w:ascii="Times New Roman" w:hAnsi="Times New Roman"/>
          <w:sz w:val="24"/>
          <w:szCs w:val="24"/>
        </w:rPr>
        <w:t xml:space="preserve">будет способствовать, с одной стороны, повышению прозрачности фондов, а с другой, повышению контроля со стороны регулятора за деятельностью фондов. В настоящий момент фонды являются некоммерческими организациями, и узнать реальных бенефициаров НПФ довольно сложно. При этом номинальные учредители фондов, по факту, могут не участвовать в управлении и развитии НПФ. Реальным бенефициаром </w:t>
      </w:r>
      <w:r>
        <w:rPr>
          <w:rFonts w:ascii="Times New Roman" w:hAnsi="Times New Roman"/>
          <w:sz w:val="24"/>
          <w:szCs w:val="24"/>
        </w:rPr>
        <w:lastRenderedPageBreak/>
        <w:t xml:space="preserve">может выступать сторонний инвестор, управляющий фондом посредством администратора или через участие в совете фонда. Между тем в фондах уже сконцентрирована треть всех пенсионных накоплений (почти 1 </w:t>
      </w:r>
      <w:proofErr w:type="gramStart"/>
      <w:r>
        <w:rPr>
          <w:rFonts w:ascii="Times New Roman" w:hAnsi="Times New Roman"/>
          <w:sz w:val="24"/>
          <w:szCs w:val="24"/>
        </w:rPr>
        <w:t>трлн</w:t>
      </w:r>
      <w:proofErr w:type="gramEnd"/>
      <w:r>
        <w:rPr>
          <w:rFonts w:ascii="Times New Roman" w:hAnsi="Times New Roman"/>
          <w:sz w:val="24"/>
          <w:szCs w:val="24"/>
        </w:rPr>
        <w:t xml:space="preserve"> рублей!). Поэтому, чтобы повысить прозрачность рынка и уменьшить риски развития отрасли, вводится требование об акционирование. Помимо повышения прозрачности эта мера позволит улучшить структуру инвестирования пенсионных накоплений, так как будут устранены инвестиции в связанные стороны, которые сейчас невозможно отследить в силу того, что фонды являются некоммерческими организациями. Помимо акционирования в ближайшие два года фонды должны будут пройти проверку надежности со стороны ЦБ РФ и вступить в Агентство страхования вкладов (АСВ) с целью страхования пенсионных накоплений. </w:t>
      </w:r>
    </w:p>
    <w:p w:rsidR="00E87860" w:rsidRDefault="00E87860" w:rsidP="00E87860">
      <w:pPr>
        <w:spacing w:after="0" w:line="360" w:lineRule="auto"/>
        <w:ind w:firstLine="709"/>
        <w:jc w:val="both"/>
        <w:rPr>
          <w:rFonts w:ascii="Times New Roman" w:hAnsi="Times New Roman"/>
          <w:sz w:val="24"/>
          <w:szCs w:val="24"/>
        </w:rPr>
      </w:pPr>
      <w:r>
        <w:rPr>
          <w:rFonts w:ascii="Times New Roman" w:hAnsi="Times New Roman"/>
          <w:sz w:val="24"/>
          <w:szCs w:val="24"/>
        </w:rPr>
        <w:t>Будущему пенсионеру важно быть в курсе изменений, происходящих с пенсионной системой. Окончательная редакция законов, определяющих правила акционирования и роль АСВ в пенсионной системе пока не утверждена. А значит, желательно интересоваться ходом утверждения новых правил игры, и при выборе фонда поинтересоваться у его представителей, все ли у них в порядке с соответствием новым требованиям.</w:t>
      </w:r>
    </w:p>
    <w:p w:rsidR="00E87860" w:rsidRDefault="00E87860" w:rsidP="00E87860">
      <w:pPr>
        <w:spacing w:after="0" w:line="360" w:lineRule="auto"/>
        <w:ind w:firstLine="709"/>
        <w:jc w:val="both"/>
        <w:rPr>
          <w:rFonts w:ascii="Times New Roman" w:hAnsi="Times New Roman"/>
          <w:b/>
          <w:sz w:val="24"/>
          <w:szCs w:val="24"/>
        </w:rPr>
      </w:pPr>
    </w:p>
    <w:p w:rsidR="00E87860" w:rsidRPr="001E27CB" w:rsidRDefault="00E87860" w:rsidP="00E87860">
      <w:pPr>
        <w:spacing w:after="0" w:line="360" w:lineRule="auto"/>
        <w:ind w:firstLine="709"/>
        <w:jc w:val="both"/>
        <w:rPr>
          <w:rFonts w:ascii="Times New Roman" w:hAnsi="Times New Roman"/>
          <w:b/>
          <w:sz w:val="24"/>
          <w:szCs w:val="24"/>
        </w:rPr>
      </w:pPr>
      <w:r w:rsidRPr="001E27CB">
        <w:rPr>
          <w:rFonts w:ascii="Times New Roman" w:hAnsi="Times New Roman"/>
          <w:b/>
          <w:sz w:val="24"/>
          <w:szCs w:val="24"/>
        </w:rPr>
        <w:t>Рейтинги в помощь</w:t>
      </w:r>
    </w:p>
    <w:p w:rsidR="00E87860" w:rsidRDefault="00E87860" w:rsidP="00E87860">
      <w:pPr>
        <w:pStyle w:val="af6"/>
        <w:spacing w:after="0" w:line="360" w:lineRule="auto"/>
        <w:ind w:firstLine="709"/>
        <w:jc w:val="both"/>
        <w:rPr>
          <w:rFonts w:ascii="Times New Roman" w:hAnsi="Times New Roman"/>
          <w:sz w:val="24"/>
          <w:szCs w:val="24"/>
        </w:rPr>
      </w:pPr>
      <w:r>
        <w:rPr>
          <w:rFonts w:ascii="Times New Roman" w:hAnsi="Times New Roman"/>
          <w:sz w:val="24"/>
          <w:szCs w:val="24"/>
        </w:rPr>
        <w:t xml:space="preserve">Будущему пенсионеру могут помочь с выбором внешние оценки надежности НПФ - </w:t>
      </w:r>
      <w:r w:rsidRPr="00EE472E">
        <w:rPr>
          <w:rFonts w:ascii="Times New Roman" w:hAnsi="Times New Roman"/>
          <w:sz w:val="24"/>
          <w:szCs w:val="24"/>
        </w:rPr>
        <w:t xml:space="preserve">рейтинги надежности фондов. Присвоением рейтингов различным участникам финансового рынка занимаются рейтинговые агентства. В России работают 9 агентств, аккредитованных при </w:t>
      </w:r>
      <w:proofErr w:type="spellStart"/>
      <w:r w:rsidRPr="00EE472E">
        <w:rPr>
          <w:rFonts w:ascii="Times New Roman" w:hAnsi="Times New Roman"/>
          <w:sz w:val="24"/>
          <w:szCs w:val="24"/>
        </w:rPr>
        <w:t>Мифине</w:t>
      </w:r>
      <w:proofErr w:type="spellEnd"/>
      <w:r w:rsidRPr="00EE472E">
        <w:rPr>
          <w:rFonts w:ascii="Times New Roman" w:hAnsi="Times New Roman"/>
          <w:sz w:val="24"/>
          <w:szCs w:val="24"/>
        </w:rPr>
        <w:t xml:space="preserve"> РФ и признанных ЦБ РФ. </w:t>
      </w:r>
      <w:r>
        <w:rPr>
          <w:rFonts w:ascii="Times New Roman" w:hAnsi="Times New Roman"/>
          <w:sz w:val="24"/>
          <w:szCs w:val="24"/>
        </w:rPr>
        <w:t xml:space="preserve">Это значит, что оценки надежности от </w:t>
      </w:r>
      <w:r w:rsidRPr="00EE472E">
        <w:rPr>
          <w:rFonts w:ascii="Times New Roman" w:hAnsi="Times New Roman"/>
          <w:sz w:val="24"/>
          <w:szCs w:val="24"/>
        </w:rPr>
        <w:t xml:space="preserve">этих агентств </w:t>
      </w:r>
      <w:r>
        <w:rPr>
          <w:rFonts w:ascii="Times New Roman" w:hAnsi="Times New Roman"/>
          <w:sz w:val="24"/>
          <w:szCs w:val="24"/>
        </w:rPr>
        <w:t xml:space="preserve">официально </w:t>
      </w:r>
      <w:r w:rsidRPr="00EE472E">
        <w:rPr>
          <w:rFonts w:ascii="Times New Roman" w:hAnsi="Times New Roman"/>
          <w:sz w:val="24"/>
          <w:szCs w:val="24"/>
        </w:rPr>
        <w:t xml:space="preserve">признаются государством. НПФ </w:t>
      </w:r>
      <w:r>
        <w:rPr>
          <w:rFonts w:ascii="Times New Roman" w:hAnsi="Times New Roman"/>
          <w:sz w:val="24"/>
          <w:szCs w:val="24"/>
        </w:rPr>
        <w:t xml:space="preserve">получают рейтинги </w:t>
      </w:r>
      <w:r w:rsidRPr="00EE472E">
        <w:rPr>
          <w:rFonts w:ascii="Times New Roman" w:hAnsi="Times New Roman"/>
          <w:sz w:val="24"/>
          <w:szCs w:val="24"/>
        </w:rPr>
        <w:t xml:space="preserve">уже более 5 лет. </w:t>
      </w:r>
    </w:p>
    <w:p w:rsidR="00E87860" w:rsidRDefault="00E87860" w:rsidP="00E87860">
      <w:pPr>
        <w:pStyle w:val="af6"/>
        <w:spacing w:after="0" w:line="360" w:lineRule="auto"/>
        <w:ind w:firstLine="709"/>
        <w:jc w:val="both"/>
        <w:rPr>
          <w:rFonts w:ascii="Times New Roman" w:hAnsi="Times New Roman"/>
          <w:sz w:val="24"/>
          <w:szCs w:val="24"/>
        </w:rPr>
      </w:pPr>
      <w:r w:rsidRPr="00EE472E">
        <w:rPr>
          <w:rFonts w:ascii="Times New Roman" w:hAnsi="Times New Roman"/>
          <w:sz w:val="24"/>
          <w:szCs w:val="24"/>
        </w:rPr>
        <w:t xml:space="preserve">Рейтинги </w:t>
      </w:r>
      <w:r>
        <w:rPr>
          <w:rFonts w:ascii="Times New Roman" w:hAnsi="Times New Roman"/>
          <w:sz w:val="24"/>
          <w:szCs w:val="24"/>
        </w:rPr>
        <w:t>служат</w:t>
      </w:r>
      <w:r w:rsidRPr="00EE472E">
        <w:rPr>
          <w:rFonts w:ascii="Times New Roman" w:hAnsi="Times New Roman"/>
          <w:sz w:val="24"/>
          <w:szCs w:val="24"/>
        </w:rPr>
        <w:t xml:space="preserve"> комплексной оценкой </w:t>
      </w:r>
      <w:r>
        <w:rPr>
          <w:rFonts w:ascii="Times New Roman" w:hAnsi="Times New Roman"/>
          <w:sz w:val="24"/>
          <w:szCs w:val="24"/>
        </w:rPr>
        <w:t xml:space="preserve">надежности </w:t>
      </w:r>
      <w:r w:rsidRPr="00EE472E">
        <w:rPr>
          <w:rFonts w:ascii="Times New Roman" w:hAnsi="Times New Roman"/>
          <w:sz w:val="24"/>
          <w:szCs w:val="24"/>
        </w:rPr>
        <w:t>фондов</w:t>
      </w:r>
      <w:r>
        <w:rPr>
          <w:rFonts w:ascii="Times New Roman" w:hAnsi="Times New Roman"/>
          <w:sz w:val="24"/>
          <w:szCs w:val="24"/>
        </w:rPr>
        <w:t>.</w:t>
      </w:r>
      <w:r w:rsidRPr="00EE472E">
        <w:rPr>
          <w:rFonts w:ascii="Times New Roman" w:hAnsi="Times New Roman"/>
          <w:sz w:val="24"/>
          <w:szCs w:val="24"/>
        </w:rPr>
        <w:t xml:space="preserve"> </w:t>
      </w:r>
      <w:r>
        <w:rPr>
          <w:rFonts w:ascii="Times New Roman" w:hAnsi="Times New Roman"/>
          <w:sz w:val="24"/>
          <w:szCs w:val="24"/>
        </w:rPr>
        <w:t>В этой оценке «зашито» все:</w:t>
      </w:r>
      <w:r w:rsidRPr="00EE472E">
        <w:rPr>
          <w:rFonts w:ascii="Times New Roman" w:hAnsi="Times New Roman"/>
          <w:sz w:val="24"/>
          <w:szCs w:val="24"/>
        </w:rPr>
        <w:t xml:space="preserve"> уч</w:t>
      </w:r>
      <w:r>
        <w:rPr>
          <w:rFonts w:ascii="Times New Roman" w:hAnsi="Times New Roman"/>
          <w:sz w:val="24"/>
          <w:szCs w:val="24"/>
        </w:rPr>
        <w:t>ет</w:t>
      </w:r>
      <w:r w:rsidRPr="00EE472E">
        <w:rPr>
          <w:rFonts w:ascii="Times New Roman" w:hAnsi="Times New Roman"/>
          <w:sz w:val="24"/>
          <w:szCs w:val="24"/>
        </w:rPr>
        <w:t xml:space="preserve"> надежност</w:t>
      </w:r>
      <w:r>
        <w:rPr>
          <w:rFonts w:ascii="Times New Roman" w:hAnsi="Times New Roman"/>
          <w:sz w:val="24"/>
          <w:szCs w:val="24"/>
        </w:rPr>
        <w:t>и</w:t>
      </w:r>
      <w:r w:rsidRPr="00EE472E">
        <w:rPr>
          <w:rFonts w:ascii="Times New Roman" w:hAnsi="Times New Roman"/>
          <w:sz w:val="24"/>
          <w:szCs w:val="24"/>
        </w:rPr>
        <w:t xml:space="preserve"> учредителей и инвесторов, показатели доходности НПФ, качество инвестиционного портфеля, финансов</w:t>
      </w:r>
      <w:r>
        <w:rPr>
          <w:rFonts w:ascii="Times New Roman" w:hAnsi="Times New Roman"/>
          <w:sz w:val="24"/>
          <w:szCs w:val="24"/>
        </w:rPr>
        <w:t>ая устойчивость</w:t>
      </w:r>
      <w:r w:rsidRPr="00EE472E">
        <w:rPr>
          <w:rFonts w:ascii="Times New Roman" w:hAnsi="Times New Roman"/>
          <w:sz w:val="24"/>
          <w:szCs w:val="24"/>
        </w:rPr>
        <w:t xml:space="preserve">. </w:t>
      </w:r>
      <w:r>
        <w:rPr>
          <w:rFonts w:ascii="Times New Roman" w:hAnsi="Times New Roman"/>
          <w:sz w:val="24"/>
          <w:szCs w:val="24"/>
        </w:rPr>
        <w:t>За 5 лет агентства накопили значительный опыт работы с фондами и фактически рейтинги являются наиболее глубокой и качественной оценкой надежности НПФ, доступной обычному человеку.</w:t>
      </w:r>
    </w:p>
    <w:p w:rsidR="00E87860" w:rsidRDefault="00E87860" w:rsidP="00E87860">
      <w:pPr>
        <w:pStyle w:val="af6"/>
        <w:spacing w:after="0" w:line="360" w:lineRule="auto"/>
        <w:ind w:firstLine="709"/>
        <w:jc w:val="both"/>
        <w:rPr>
          <w:rFonts w:ascii="Times New Roman" w:hAnsi="Times New Roman"/>
          <w:sz w:val="24"/>
          <w:szCs w:val="24"/>
        </w:rPr>
      </w:pPr>
      <w:r>
        <w:rPr>
          <w:rFonts w:ascii="Times New Roman" w:hAnsi="Times New Roman"/>
          <w:sz w:val="24"/>
          <w:szCs w:val="24"/>
        </w:rPr>
        <w:t xml:space="preserve">Общий </w:t>
      </w:r>
      <w:r w:rsidRPr="004111E5">
        <w:rPr>
          <w:rFonts w:ascii="Times New Roman" w:hAnsi="Times New Roman"/>
          <w:color w:val="000000" w:themeColor="text1"/>
          <w:sz w:val="24"/>
          <w:szCs w:val="24"/>
        </w:rPr>
        <w:t>алгоритм выбора фонда достаточно прост: для начала можно ограничить круг НПФ с высокими рейтингами надежности, среди них отобрать фонды с лучшими результатами инвестирования. Затем посетить их офисы и понять, насколько удобно или неудобно с ними сотрудничать</w:t>
      </w:r>
      <w:r w:rsidR="00BB5164" w:rsidRPr="004111E5">
        <w:rPr>
          <w:rFonts w:ascii="Times New Roman" w:hAnsi="Times New Roman"/>
          <w:color w:val="000000" w:themeColor="text1"/>
          <w:sz w:val="24"/>
          <w:szCs w:val="24"/>
        </w:rPr>
        <w:t xml:space="preserve">. Наконец, подать заявление в территориальный орган ПФР </w:t>
      </w:r>
      <w:r w:rsidR="00BB5164" w:rsidRPr="004111E5">
        <w:rPr>
          <w:rFonts w:ascii="Times New Roman" w:hAnsi="Times New Roman"/>
          <w:color w:val="000000" w:themeColor="text1"/>
          <w:sz w:val="24"/>
          <w:szCs w:val="24"/>
        </w:rPr>
        <w:lastRenderedPageBreak/>
        <w:t>о переходе в негосударственный пенсионный фонд.</w:t>
      </w:r>
      <w:r w:rsidRPr="004111E5">
        <w:rPr>
          <w:rFonts w:ascii="Times New Roman" w:hAnsi="Times New Roman"/>
          <w:color w:val="000000" w:themeColor="text1"/>
          <w:sz w:val="24"/>
          <w:szCs w:val="24"/>
        </w:rPr>
        <w:t xml:space="preserve">  </w:t>
      </w:r>
      <w:r w:rsidR="00BB5164" w:rsidRPr="004111E5">
        <w:rPr>
          <w:rFonts w:ascii="Times New Roman" w:hAnsi="Times New Roman"/>
          <w:color w:val="000000" w:themeColor="text1"/>
          <w:sz w:val="24"/>
          <w:szCs w:val="24"/>
        </w:rPr>
        <w:t>Далее</w:t>
      </w:r>
      <w:r w:rsidRPr="004111E5">
        <w:rPr>
          <w:rFonts w:ascii="Times New Roman" w:hAnsi="Times New Roman"/>
          <w:color w:val="000000" w:themeColor="text1"/>
          <w:sz w:val="24"/>
          <w:szCs w:val="24"/>
        </w:rPr>
        <w:t xml:space="preserve"> – следить </w:t>
      </w:r>
      <w:r>
        <w:rPr>
          <w:rFonts w:ascii="Times New Roman" w:hAnsi="Times New Roman"/>
          <w:sz w:val="24"/>
          <w:szCs w:val="24"/>
        </w:rPr>
        <w:t xml:space="preserve">за ходом пенсионной реформы и быть готовым к защите своих прав на формирование накоплений в рамках системы ОПС. </w:t>
      </w:r>
    </w:p>
    <w:p w:rsidR="00E87860" w:rsidRPr="00EE472E" w:rsidRDefault="00E87860" w:rsidP="00E87860">
      <w:pPr>
        <w:pStyle w:val="af6"/>
        <w:spacing w:after="0" w:line="360" w:lineRule="auto"/>
        <w:ind w:firstLine="709"/>
        <w:jc w:val="both"/>
        <w:rPr>
          <w:rFonts w:ascii="Times New Roman" w:hAnsi="Times New Roman"/>
          <w:sz w:val="24"/>
          <w:szCs w:val="24"/>
        </w:rPr>
      </w:pPr>
    </w:p>
    <w:p w:rsidR="00E87860" w:rsidRPr="00EE472E" w:rsidRDefault="00E87860" w:rsidP="00E87860">
      <w:pPr>
        <w:spacing w:after="0" w:line="360" w:lineRule="auto"/>
        <w:ind w:firstLine="709"/>
        <w:jc w:val="both"/>
        <w:rPr>
          <w:rFonts w:ascii="Times New Roman" w:hAnsi="Times New Roman"/>
          <w:b/>
          <w:sz w:val="24"/>
          <w:szCs w:val="24"/>
        </w:rPr>
      </w:pPr>
      <w:r>
        <w:rPr>
          <w:rFonts w:ascii="Times New Roman" w:hAnsi="Times New Roman"/>
          <w:b/>
          <w:sz w:val="24"/>
          <w:szCs w:val="24"/>
        </w:rPr>
        <w:t>Таблица</w:t>
      </w:r>
      <w:r w:rsidRPr="00EE472E">
        <w:rPr>
          <w:rFonts w:ascii="Times New Roman" w:hAnsi="Times New Roman"/>
          <w:b/>
          <w:sz w:val="24"/>
          <w:szCs w:val="24"/>
        </w:rPr>
        <w:t xml:space="preserve"> №</w:t>
      </w:r>
      <w:r>
        <w:rPr>
          <w:rFonts w:ascii="Times New Roman" w:hAnsi="Times New Roman"/>
          <w:b/>
          <w:sz w:val="24"/>
          <w:szCs w:val="24"/>
        </w:rPr>
        <w:t>3</w:t>
      </w:r>
      <w:r w:rsidRPr="00EE472E">
        <w:rPr>
          <w:rFonts w:ascii="Times New Roman" w:hAnsi="Times New Roman"/>
          <w:b/>
          <w:sz w:val="24"/>
          <w:szCs w:val="24"/>
        </w:rPr>
        <w:t xml:space="preserve">. </w:t>
      </w:r>
      <w:r>
        <w:rPr>
          <w:rFonts w:ascii="Times New Roman" w:hAnsi="Times New Roman"/>
          <w:b/>
          <w:sz w:val="24"/>
          <w:szCs w:val="24"/>
        </w:rPr>
        <w:t xml:space="preserve">Рейтинг-лист НПФ </w:t>
      </w:r>
      <w:r w:rsidRPr="00EE472E">
        <w:rPr>
          <w:rFonts w:ascii="Times New Roman" w:hAnsi="Times New Roman"/>
          <w:b/>
          <w:sz w:val="24"/>
          <w:szCs w:val="24"/>
        </w:rPr>
        <w:t>«Эксперт РА» на 17.12.2013</w:t>
      </w:r>
    </w:p>
    <w:tbl>
      <w:tblPr>
        <w:tblW w:w="8122" w:type="dxa"/>
        <w:tblInd w:w="93" w:type="dxa"/>
        <w:tblLook w:val="00A0" w:firstRow="1" w:lastRow="0" w:firstColumn="1" w:lastColumn="0" w:noHBand="0" w:noVBand="0"/>
      </w:tblPr>
      <w:tblGrid>
        <w:gridCol w:w="4880"/>
        <w:gridCol w:w="1520"/>
        <w:gridCol w:w="1722"/>
      </w:tblGrid>
      <w:tr w:rsidR="00E87860" w:rsidRPr="00436287" w:rsidTr="00116BF3">
        <w:trPr>
          <w:trHeight w:val="1056"/>
        </w:trPr>
        <w:tc>
          <w:tcPr>
            <w:tcW w:w="4880"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87860" w:rsidRPr="00DA574E" w:rsidRDefault="00E87860" w:rsidP="00E87860">
            <w:pPr>
              <w:spacing w:after="0" w:line="360" w:lineRule="auto"/>
              <w:ind w:firstLine="709"/>
              <w:jc w:val="both"/>
              <w:rPr>
                <w:rFonts w:ascii="Times New Roman" w:hAnsi="Times New Roman"/>
                <w:color w:val="FFFFFF"/>
                <w:sz w:val="20"/>
                <w:szCs w:val="20"/>
                <w:lang w:eastAsia="ru-RU"/>
              </w:rPr>
            </w:pPr>
            <w:r w:rsidRPr="00DA574E">
              <w:rPr>
                <w:rFonts w:ascii="Times New Roman" w:hAnsi="Times New Roman"/>
                <w:color w:val="FFFFFF"/>
                <w:sz w:val="20"/>
                <w:szCs w:val="20"/>
                <w:lang w:eastAsia="ru-RU"/>
              </w:rPr>
              <w:t xml:space="preserve">Фонд </w:t>
            </w:r>
          </w:p>
        </w:tc>
        <w:tc>
          <w:tcPr>
            <w:tcW w:w="1520" w:type="dxa"/>
            <w:tcBorders>
              <w:top w:val="single" w:sz="4" w:space="0" w:color="auto"/>
              <w:left w:val="nil"/>
              <w:bottom w:val="single" w:sz="4" w:space="0" w:color="auto"/>
              <w:right w:val="single" w:sz="4" w:space="0" w:color="auto"/>
            </w:tcBorders>
            <w:shd w:val="clear" w:color="000000" w:fill="FF0000"/>
            <w:vAlign w:val="center"/>
          </w:tcPr>
          <w:p w:rsidR="00E87860" w:rsidRPr="00DA574E" w:rsidRDefault="00E87860" w:rsidP="00E87860">
            <w:pPr>
              <w:spacing w:after="0" w:line="360" w:lineRule="auto"/>
              <w:ind w:firstLine="709"/>
              <w:jc w:val="both"/>
              <w:rPr>
                <w:rFonts w:ascii="Times New Roman" w:hAnsi="Times New Roman"/>
                <w:color w:val="FFFFFF"/>
                <w:sz w:val="20"/>
                <w:szCs w:val="20"/>
                <w:lang w:eastAsia="ru-RU"/>
              </w:rPr>
            </w:pPr>
            <w:r w:rsidRPr="00DA574E">
              <w:rPr>
                <w:rFonts w:ascii="Times New Roman" w:hAnsi="Times New Roman"/>
                <w:color w:val="FFFFFF"/>
                <w:sz w:val="20"/>
                <w:szCs w:val="20"/>
                <w:lang w:eastAsia="ru-RU"/>
              </w:rPr>
              <w:t xml:space="preserve">Рейтинг надежности НПФ </w:t>
            </w:r>
            <w:proofErr w:type="gramStart"/>
            <w:r w:rsidRPr="00DA574E">
              <w:rPr>
                <w:rFonts w:ascii="Times New Roman" w:hAnsi="Times New Roman"/>
                <w:color w:val="FFFFFF"/>
                <w:sz w:val="20"/>
                <w:szCs w:val="20"/>
                <w:lang w:eastAsia="ru-RU"/>
              </w:rPr>
              <w:t>от</w:t>
            </w:r>
            <w:proofErr w:type="gramEnd"/>
            <w:r w:rsidRPr="00DA574E">
              <w:rPr>
                <w:rFonts w:ascii="Times New Roman" w:hAnsi="Times New Roman"/>
                <w:color w:val="FFFFFF"/>
                <w:sz w:val="20"/>
                <w:szCs w:val="20"/>
                <w:lang w:eastAsia="ru-RU"/>
              </w:rPr>
              <w:t xml:space="preserve"> "</w:t>
            </w:r>
            <w:proofErr w:type="gramStart"/>
            <w:r w:rsidRPr="00DA574E">
              <w:rPr>
                <w:rFonts w:ascii="Times New Roman" w:hAnsi="Times New Roman"/>
                <w:color w:val="FFFFFF"/>
                <w:sz w:val="20"/>
                <w:szCs w:val="20"/>
                <w:lang w:eastAsia="ru-RU"/>
              </w:rPr>
              <w:t>Эксперт</w:t>
            </w:r>
            <w:proofErr w:type="gramEnd"/>
            <w:r w:rsidRPr="00DA574E">
              <w:rPr>
                <w:rFonts w:ascii="Times New Roman" w:hAnsi="Times New Roman"/>
                <w:color w:val="FFFFFF"/>
                <w:sz w:val="20"/>
                <w:szCs w:val="20"/>
                <w:lang w:eastAsia="ru-RU"/>
              </w:rPr>
              <w:t xml:space="preserve"> РА"</w:t>
            </w:r>
          </w:p>
        </w:tc>
        <w:tc>
          <w:tcPr>
            <w:tcW w:w="1722" w:type="dxa"/>
            <w:tcBorders>
              <w:top w:val="single" w:sz="4" w:space="0" w:color="auto"/>
              <w:left w:val="nil"/>
              <w:bottom w:val="single" w:sz="4" w:space="0" w:color="auto"/>
              <w:right w:val="single" w:sz="4" w:space="0" w:color="auto"/>
            </w:tcBorders>
            <w:shd w:val="clear" w:color="000000" w:fill="FF0000"/>
            <w:vAlign w:val="center"/>
          </w:tcPr>
          <w:p w:rsidR="00E87860" w:rsidRPr="00DA574E" w:rsidRDefault="00E87860" w:rsidP="00E87860">
            <w:pPr>
              <w:spacing w:after="0" w:line="360" w:lineRule="auto"/>
              <w:ind w:firstLine="709"/>
              <w:jc w:val="both"/>
              <w:rPr>
                <w:rFonts w:ascii="Times New Roman" w:hAnsi="Times New Roman"/>
                <w:color w:val="FFFFFF"/>
                <w:sz w:val="20"/>
                <w:szCs w:val="20"/>
                <w:lang w:eastAsia="ru-RU"/>
              </w:rPr>
            </w:pPr>
            <w:r w:rsidRPr="00DA574E">
              <w:rPr>
                <w:rFonts w:ascii="Times New Roman" w:hAnsi="Times New Roman"/>
                <w:color w:val="FFFFFF"/>
                <w:sz w:val="20"/>
                <w:szCs w:val="20"/>
                <w:lang w:eastAsia="ru-RU"/>
              </w:rPr>
              <w:t xml:space="preserve">Прогноз по рейтингу надежности НПФ </w:t>
            </w:r>
            <w:proofErr w:type="gramStart"/>
            <w:r w:rsidRPr="00DA574E">
              <w:rPr>
                <w:rFonts w:ascii="Times New Roman" w:hAnsi="Times New Roman"/>
                <w:color w:val="FFFFFF"/>
                <w:sz w:val="20"/>
                <w:szCs w:val="20"/>
                <w:lang w:eastAsia="ru-RU"/>
              </w:rPr>
              <w:t>от</w:t>
            </w:r>
            <w:proofErr w:type="gramEnd"/>
            <w:r w:rsidRPr="00DA574E">
              <w:rPr>
                <w:rFonts w:ascii="Times New Roman" w:hAnsi="Times New Roman"/>
                <w:color w:val="FFFFFF"/>
                <w:sz w:val="20"/>
                <w:szCs w:val="20"/>
                <w:lang w:eastAsia="ru-RU"/>
              </w:rPr>
              <w:t xml:space="preserve"> "</w:t>
            </w:r>
            <w:proofErr w:type="gramStart"/>
            <w:r w:rsidRPr="00DA574E">
              <w:rPr>
                <w:rFonts w:ascii="Times New Roman" w:hAnsi="Times New Roman"/>
                <w:color w:val="FFFFFF"/>
                <w:sz w:val="20"/>
                <w:szCs w:val="20"/>
                <w:lang w:eastAsia="ru-RU"/>
              </w:rPr>
              <w:t>Эксперт</w:t>
            </w:r>
            <w:proofErr w:type="gramEnd"/>
            <w:r w:rsidRPr="00DA574E">
              <w:rPr>
                <w:rFonts w:ascii="Times New Roman" w:hAnsi="Times New Roman"/>
                <w:color w:val="FFFFFF"/>
                <w:sz w:val="20"/>
                <w:szCs w:val="20"/>
                <w:lang w:eastAsia="ru-RU"/>
              </w:rPr>
              <w:t xml:space="preserve"> РА"</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Алмазная осень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«Альянс»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spellStart"/>
            <w:r w:rsidRPr="00DA574E">
              <w:rPr>
                <w:rFonts w:ascii="Times New Roman" w:hAnsi="Times New Roman"/>
                <w:color w:val="000000"/>
                <w:sz w:val="20"/>
                <w:szCs w:val="20"/>
                <w:lang w:eastAsia="ru-RU"/>
              </w:rPr>
              <w:t>Атомгарант</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«Благовест»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БЛАГОСОСТОЯНИЕ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«БЛАГОСОСТОЯНИЕ ЭМЭНСИ»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Большой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«Волга-Капитал»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ВТБ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ГАЗФОНД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Европейский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Позитивный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КИТ </w:t>
            </w:r>
            <w:proofErr w:type="spellStart"/>
            <w:r w:rsidRPr="00DA574E">
              <w:rPr>
                <w:rFonts w:ascii="Times New Roman" w:hAnsi="Times New Roman"/>
                <w:color w:val="000000"/>
                <w:sz w:val="20"/>
                <w:szCs w:val="20"/>
                <w:lang w:eastAsia="ru-RU"/>
              </w:rPr>
              <w:t>Финанс</w:t>
            </w:r>
            <w:proofErr w:type="spellEnd"/>
            <w:r w:rsidRPr="00DA574E">
              <w:rPr>
                <w:rFonts w:ascii="Times New Roman" w:hAnsi="Times New Roman"/>
                <w:color w:val="000000"/>
                <w:sz w:val="20"/>
                <w:szCs w:val="20"/>
                <w:lang w:eastAsia="ru-RU"/>
              </w:rPr>
              <w:t xml:space="preserve"> НПФ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ЛУКОЙЛ-ГАРАНТ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Национальный НПФ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spellStart"/>
            <w:r w:rsidRPr="00DA574E">
              <w:rPr>
                <w:rFonts w:ascii="Times New Roman" w:hAnsi="Times New Roman"/>
                <w:color w:val="000000"/>
                <w:sz w:val="20"/>
                <w:szCs w:val="20"/>
                <w:lang w:eastAsia="ru-RU"/>
              </w:rPr>
              <w:t>Нефтегарант</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lastRenderedPageBreak/>
              <w:t xml:space="preserve">НПФ «ОПФ»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Позитивный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gramStart"/>
            <w:r w:rsidRPr="00DA574E">
              <w:rPr>
                <w:rFonts w:ascii="Times New Roman" w:hAnsi="Times New Roman"/>
                <w:color w:val="000000"/>
                <w:sz w:val="20"/>
                <w:szCs w:val="20"/>
                <w:lang w:eastAsia="ru-RU"/>
              </w:rPr>
              <w:t>Оренбургский</w:t>
            </w:r>
            <w:proofErr w:type="gramEnd"/>
            <w:r w:rsidRPr="00DA574E">
              <w:rPr>
                <w:rFonts w:ascii="Times New Roman" w:hAnsi="Times New Roman"/>
                <w:color w:val="000000"/>
                <w:sz w:val="20"/>
                <w:szCs w:val="20"/>
                <w:lang w:eastAsia="ru-RU"/>
              </w:rPr>
              <w:t xml:space="preserve"> НПФ «Доверие»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«Первый национальный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«Первый Русский Пенсионный Фонд»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proofErr w:type="spellStart"/>
            <w:r w:rsidRPr="00DA574E">
              <w:rPr>
                <w:rFonts w:ascii="Times New Roman" w:hAnsi="Times New Roman"/>
                <w:color w:val="000000"/>
                <w:sz w:val="20"/>
                <w:szCs w:val="20"/>
                <w:lang w:eastAsia="ru-RU"/>
              </w:rPr>
              <w:t>Промагрофонд</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w:t>
            </w:r>
            <w:proofErr w:type="spellStart"/>
            <w:r w:rsidRPr="00DA574E">
              <w:rPr>
                <w:rFonts w:ascii="Times New Roman" w:hAnsi="Times New Roman"/>
                <w:color w:val="000000"/>
                <w:sz w:val="20"/>
                <w:szCs w:val="20"/>
                <w:lang w:eastAsia="ru-RU"/>
              </w:rPr>
              <w:t>Райффайзен</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Ренессанс Жизнь и Пенсии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Позитивный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Сбербанка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НПФ «</w:t>
            </w:r>
            <w:proofErr w:type="spellStart"/>
            <w:r w:rsidRPr="00DA574E">
              <w:rPr>
                <w:rFonts w:ascii="Times New Roman" w:hAnsi="Times New Roman"/>
                <w:color w:val="000000"/>
                <w:sz w:val="20"/>
                <w:szCs w:val="20"/>
                <w:lang w:eastAsia="ru-RU"/>
              </w:rPr>
              <w:t>СберФонд</w:t>
            </w:r>
            <w:proofErr w:type="spellEnd"/>
            <w:r w:rsidRPr="00DA574E">
              <w:rPr>
                <w:rFonts w:ascii="Times New Roman" w:hAnsi="Times New Roman"/>
                <w:color w:val="000000"/>
                <w:sz w:val="20"/>
                <w:szCs w:val="20"/>
                <w:lang w:eastAsia="ru-RU"/>
              </w:rPr>
              <w:t xml:space="preserve"> РЕСО»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НПФ «</w:t>
            </w:r>
            <w:proofErr w:type="spellStart"/>
            <w:r w:rsidRPr="00DA574E">
              <w:rPr>
                <w:rFonts w:ascii="Times New Roman" w:hAnsi="Times New Roman"/>
                <w:color w:val="000000"/>
                <w:sz w:val="20"/>
                <w:szCs w:val="20"/>
                <w:lang w:eastAsia="ru-RU"/>
              </w:rPr>
              <w:t>СтальФонд</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Сургутнефтегаз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«Телеком-Союз»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Развивающийся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ТНК-Владимир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Развивающийся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w:t>
            </w:r>
            <w:proofErr w:type="spellStart"/>
            <w:r w:rsidRPr="00DA574E">
              <w:rPr>
                <w:rFonts w:ascii="Times New Roman" w:hAnsi="Times New Roman"/>
                <w:color w:val="000000"/>
                <w:sz w:val="20"/>
                <w:szCs w:val="20"/>
                <w:lang w:eastAsia="ru-RU"/>
              </w:rPr>
              <w:t>Транснефть</w:t>
            </w:r>
            <w:proofErr w:type="spellEnd"/>
            <w:r w:rsidRPr="00DA574E">
              <w:rPr>
                <w:rFonts w:ascii="Times New Roman" w:hAnsi="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«УРАЛСИБ»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Ханты-Мансийский НПФ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r w:rsidR="00E87860" w:rsidRPr="00436287" w:rsidTr="00116BF3">
        <w:trPr>
          <w:trHeight w:val="288"/>
        </w:trPr>
        <w:tc>
          <w:tcPr>
            <w:tcW w:w="4880" w:type="dxa"/>
            <w:tcBorders>
              <w:top w:val="nil"/>
              <w:left w:val="single" w:sz="4" w:space="0" w:color="auto"/>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НПФ электроэнергетики </w:t>
            </w:r>
          </w:p>
        </w:tc>
        <w:tc>
          <w:tcPr>
            <w:tcW w:w="1520"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 A++  </w:t>
            </w:r>
          </w:p>
        </w:tc>
        <w:tc>
          <w:tcPr>
            <w:tcW w:w="1722" w:type="dxa"/>
            <w:tcBorders>
              <w:top w:val="nil"/>
              <w:left w:val="nil"/>
              <w:bottom w:val="single" w:sz="4" w:space="0" w:color="auto"/>
              <w:right w:val="single" w:sz="4" w:space="0" w:color="auto"/>
            </w:tcBorders>
            <w:noWrap/>
            <w:vAlign w:val="bottom"/>
          </w:tcPr>
          <w:p w:rsidR="00E87860" w:rsidRPr="00DA574E" w:rsidRDefault="00E87860" w:rsidP="00E87860">
            <w:pPr>
              <w:spacing w:after="0" w:line="360" w:lineRule="auto"/>
              <w:ind w:firstLine="709"/>
              <w:jc w:val="both"/>
              <w:rPr>
                <w:rFonts w:ascii="Times New Roman" w:hAnsi="Times New Roman"/>
                <w:color w:val="000000"/>
                <w:sz w:val="20"/>
                <w:szCs w:val="20"/>
                <w:lang w:eastAsia="ru-RU"/>
              </w:rPr>
            </w:pPr>
            <w:r w:rsidRPr="00DA574E">
              <w:rPr>
                <w:rFonts w:ascii="Times New Roman" w:hAnsi="Times New Roman"/>
                <w:color w:val="000000"/>
                <w:sz w:val="20"/>
                <w:szCs w:val="20"/>
                <w:lang w:eastAsia="ru-RU"/>
              </w:rPr>
              <w:t xml:space="preserve">Стабильный </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Источник:</w:t>
      </w:r>
      <w:r w:rsidRPr="00032453">
        <w:rPr>
          <w:rFonts w:ascii="Times New Roman" w:hAnsi="Times New Roman"/>
          <w:i/>
          <w:sz w:val="20"/>
          <w:szCs w:val="20"/>
        </w:rPr>
        <w:t xml:space="preserve"> «Эксперт РА»</w:t>
      </w: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Таблица №</w:t>
      </w:r>
      <w:r>
        <w:rPr>
          <w:rFonts w:ascii="Times New Roman" w:hAnsi="Times New Roman"/>
          <w:b/>
          <w:sz w:val="24"/>
          <w:szCs w:val="24"/>
        </w:rPr>
        <w:t>4</w:t>
      </w:r>
      <w:r w:rsidRPr="00D37E90">
        <w:rPr>
          <w:rFonts w:ascii="Times New Roman" w:hAnsi="Times New Roman"/>
          <w:b/>
          <w:sz w:val="24"/>
          <w:szCs w:val="24"/>
        </w:rPr>
        <w:t xml:space="preserve">. </w:t>
      </w:r>
      <w:proofErr w:type="gramStart"/>
      <w:r w:rsidRPr="00D37E90">
        <w:rPr>
          <w:rFonts w:ascii="Times New Roman" w:hAnsi="Times New Roman"/>
          <w:b/>
          <w:sz w:val="24"/>
          <w:szCs w:val="24"/>
        </w:rPr>
        <w:t>Крупнейшие</w:t>
      </w:r>
      <w:proofErr w:type="gramEnd"/>
      <w:r w:rsidRPr="00D37E90">
        <w:rPr>
          <w:rFonts w:ascii="Times New Roman" w:hAnsi="Times New Roman"/>
          <w:b/>
          <w:sz w:val="24"/>
          <w:szCs w:val="24"/>
        </w:rPr>
        <w:t xml:space="preserve"> НПФ по объему </w:t>
      </w:r>
      <w:r>
        <w:rPr>
          <w:rFonts w:ascii="Times New Roman" w:hAnsi="Times New Roman"/>
          <w:b/>
          <w:sz w:val="24"/>
          <w:szCs w:val="24"/>
        </w:rPr>
        <w:t>пенсионных накоплений</w:t>
      </w:r>
      <w:r w:rsidRPr="00D37E90">
        <w:rPr>
          <w:rFonts w:ascii="Times New Roman" w:hAnsi="Times New Roman"/>
          <w:b/>
          <w:sz w:val="24"/>
          <w:szCs w:val="24"/>
        </w:rPr>
        <w:t xml:space="preserve"> на 30.09.2013</w:t>
      </w:r>
    </w:p>
    <w:tbl>
      <w:tblPr>
        <w:tblW w:w="9603" w:type="dxa"/>
        <w:tblInd w:w="-601" w:type="dxa"/>
        <w:tblLayout w:type="fixed"/>
        <w:tblLook w:val="00A0" w:firstRow="1" w:lastRow="0" w:firstColumn="1" w:lastColumn="0" w:noHBand="0" w:noVBand="0"/>
      </w:tblPr>
      <w:tblGrid>
        <w:gridCol w:w="1291"/>
        <w:gridCol w:w="3080"/>
        <w:gridCol w:w="1456"/>
        <w:gridCol w:w="1418"/>
        <w:gridCol w:w="1261"/>
        <w:gridCol w:w="1097"/>
      </w:tblGrid>
      <w:tr w:rsidR="00E87860" w:rsidRPr="00436287" w:rsidTr="00116BF3">
        <w:trPr>
          <w:trHeight w:val="2640"/>
        </w:trPr>
        <w:tc>
          <w:tcPr>
            <w:tcW w:w="1291" w:type="dxa"/>
            <w:tcBorders>
              <w:top w:val="single" w:sz="4" w:space="0" w:color="auto"/>
              <w:left w:val="single" w:sz="4" w:space="0" w:color="auto"/>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lastRenderedPageBreak/>
              <w:t>Место по объёму пенсионных накоплений на 30.09.2013, по данным СБРФР</w:t>
            </w:r>
          </w:p>
        </w:tc>
        <w:tc>
          <w:tcPr>
            <w:tcW w:w="3080" w:type="dxa"/>
            <w:tcBorders>
              <w:top w:val="single" w:sz="4" w:space="0" w:color="auto"/>
              <w:left w:val="nil"/>
              <w:bottom w:val="single" w:sz="4" w:space="0" w:color="auto"/>
              <w:right w:val="single" w:sz="4" w:space="0" w:color="auto"/>
            </w:tcBorders>
            <w:shd w:val="clear" w:color="000000" w:fill="FF0000"/>
            <w:noWrap/>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 xml:space="preserve">Фонд </w:t>
            </w:r>
          </w:p>
        </w:tc>
        <w:tc>
          <w:tcPr>
            <w:tcW w:w="1456"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 xml:space="preserve">Рейтинг надежности НПФ </w:t>
            </w:r>
            <w:proofErr w:type="gramStart"/>
            <w:r w:rsidRPr="00333E69">
              <w:rPr>
                <w:rFonts w:ascii="Times New Roman" w:hAnsi="Times New Roman"/>
                <w:color w:val="FFFFFF"/>
                <w:sz w:val="20"/>
                <w:szCs w:val="20"/>
                <w:lang w:eastAsia="ru-RU"/>
              </w:rPr>
              <w:t>от</w:t>
            </w:r>
            <w:proofErr w:type="gramEnd"/>
            <w:r w:rsidRPr="00333E69">
              <w:rPr>
                <w:rFonts w:ascii="Times New Roman" w:hAnsi="Times New Roman"/>
                <w:color w:val="FFFFFF"/>
                <w:sz w:val="20"/>
                <w:szCs w:val="20"/>
                <w:lang w:eastAsia="ru-RU"/>
              </w:rPr>
              <w:t xml:space="preserve"> "</w:t>
            </w:r>
            <w:proofErr w:type="gramStart"/>
            <w:r w:rsidRPr="00333E69">
              <w:rPr>
                <w:rFonts w:ascii="Times New Roman" w:hAnsi="Times New Roman"/>
                <w:color w:val="FFFFFF"/>
                <w:sz w:val="20"/>
                <w:szCs w:val="20"/>
                <w:lang w:eastAsia="ru-RU"/>
              </w:rPr>
              <w:t>Эксперт</w:t>
            </w:r>
            <w:proofErr w:type="gramEnd"/>
            <w:r w:rsidRPr="00333E69">
              <w:rPr>
                <w:rFonts w:ascii="Times New Roman" w:hAnsi="Times New Roman"/>
                <w:color w:val="FFFFFF"/>
                <w:sz w:val="20"/>
                <w:szCs w:val="20"/>
                <w:lang w:eastAsia="ru-RU"/>
              </w:rPr>
              <w:t xml:space="preserve"> РА"</w:t>
            </w:r>
          </w:p>
        </w:tc>
        <w:tc>
          <w:tcPr>
            <w:tcW w:w="1418"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 xml:space="preserve">Объем пенсионных накоплений НПФ на 30.09.2013, </w:t>
            </w:r>
            <w:proofErr w:type="gramStart"/>
            <w:r w:rsidRPr="00333E69">
              <w:rPr>
                <w:rFonts w:ascii="Times New Roman" w:hAnsi="Times New Roman"/>
                <w:color w:val="FFFFFF"/>
                <w:sz w:val="20"/>
                <w:szCs w:val="20"/>
                <w:lang w:eastAsia="ru-RU"/>
              </w:rPr>
              <w:t>млн</w:t>
            </w:r>
            <w:proofErr w:type="gramEnd"/>
            <w:r w:rsidRPr="00333E69">
              <w:rPr>
                <w:rFonts w:ascii="Times New Roman" w:hAnsi="Times New Roman"/>
                <w:color w:val="FFFFFF"/>
                <w:sz w:val="20"/>
                <w:szCs w:val="20"/>
                <w:lang w:eastAsia="ru-RU"/>
              </w:rPr>
              <w:t xml:space="preserve"> рублей</w:t>
            </w:r>
          </w:p>
        </w:tc>
        <w:tc>
          <w:tcPr>
            <w:tcW w:w="1261"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Кол-во застрахованных лиц, человек</w:t>
            </w:r>
          </w:p>
        </w:tc>
        <w:tc>
          <w:tcPr>
            <w:tcW w:w="1097" w:type="dxa"/>
            <w:tcBorders>
              <w:top w:val="single" w:sz="4" w:space="0" w:color="auto"/>
              <w:left w:val="nil"/>
              <w:bottom w:val="single" w:sz="4" w:space="0" w:color="auto"/>
              <w:right w:val="single" w:sz="4" w:space="0" w:color="auto"/>
            </w:tcBorders>
            <w:shd w:val="clear" w:color="000000" w:fill="FF0000"/>
            <w:vAlign w:val="center"/>
          </w:tcPr>
          <w:p w:rsidR="00E87860" w:rsidRPr="00333E69" w:rsidRDefault="00E87860" w:rsidP="00E87860">
            <w:pPr>
              <w:spacing w:after="0" w:line="360" w:lineRule="auto"/>
              <w:ind w:firstLine="709"/>
              <w:jc w:val="both"/>
              <w:rPr>
                <w:rFonts w:ascii="Times New Roman" w:hAnsi="Times New Roman"/>
                <w:color w:val="FFFFFF"/>
                <w:sz w:val="20"/>
                <w:szCs w:val="20"/>
                <w:lang w:eastAsia="ru-RU"/>
              </w:rPr>
            </w:pPr>
            <w:r w:rsidRPr="00333E69">
              <w:rPr>
                <w:rFonts w:ascii="Times New Roman" w:hAnsi="Times New Roman"/>
                <w:color w:val="FFFFFF"/>
                <w:sz w:val="20"/>
                <w:szCs w:val="20"/>
                <w:lang w:eastAsia="ru-RU"/>
              </w:rPr>
              <w:t>Средний счет по ОПС, тыс. руб.</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НО "НПФ ЛУКОЙЛ-ГАРАНТ"</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126 477</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2 318 819</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54,5</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2</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"БЛАГОСОСТОЯНИЕ"</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105 969</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1 767 816</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59,9</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Сбербанка</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67 293</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1 043 133</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64,5</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4</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"РГС"</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58 421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1 556 487</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37,5</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электроэнергетики</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58 304</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1 000 401</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58,3</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6</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ВТБ Пенсионный 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57 606</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983 779</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58,6</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7</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"ГАЗФОНД"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56 761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730 346</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77,7</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8</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 xml:space="preserve">КИТ </w:t>
            </w:r>
            <w:proofErr w:type="spellStart"/>
            <w:r w:rsidRPr="00333E69">
              <w:rPr>
                <w:rFonts w:ascii="Times New Roman" w:hAnsi="Times New Roman"/>
                <w:sz w:val="20"/>
                <w:szCs w:val="20"/>
                <w:lang w:eastAsia="ru-RU"/>
              </w:rPr>
              <w:t>Финанс</w:t>
            </w:r>
            <w:proofErr w:type="spellEnd"/>
            <w:r w:rsidRPr="00333E69">
              <w:rPr>
                <w:rFonts w:ascii="Times New Roman" w:hAnsi="Times New Roman"/>
                <w:sz w:val="20"/>
                <w:szCs w:val="20"/>
                <w:lang w:eastAsia="ru-RU"/>
              </w:rPr>
              <w:t xml:space="preserve"> НПФ</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56 354</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1 869 828</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30,1</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9</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Промагрофонд</w:t>
            </w:r>
            <w:proofErr w:type="spellEnd"/>
            <w:r w:rsidRPr="00333E69">
              <w:rPr>
                <w:rFonts w:ascii="Times New Roman" w:hAnsi="Times New Roman"/>
                <w:sz w:val="20"/>
                <w:szCs w:val="20"/>
                <w:lang w:eastAsia="ru-RU"/>
              </w:rPr>
              <w:t>"</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47 682</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1 628 343</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29,3</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10</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«Наследие»</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45 824</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1 031 625</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44,4</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11</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СтальФонд</w:t>
            </w:r>
            <w:proofErr w:type="spellEnd"/>
            <w:r w:rsidRPr="00333E69">
              <w:rPr>
                <w:rFonts w:ascii="Times New Roman" w:hAnsi="Times New Roman"/>
                <w:sz w:val="20"/>
                <w:szCs w:val="20"/>
                <w:lang w:eastAsia="ru-RU"/>
              </w:rPr>
              <w:t>"</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32 819</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1 000 415</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32,8</w:t>
            </w:r>
          </w:p>
        </w:tc>
      </w:tr>
      <w:tr w:rsidR="00E87860" w:rsidRPr="00436287" w:rsidTr="00116BF3">
        <w:trPr>
          <w:trHeight w:val="52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12</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"Ренессанс Жизнь и Пенсии"</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30 020</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807 618</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37,2</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13</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МН "БПФ"</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r>
              <w:rPr>
                <w:rFonts w:ascii="Times New Roman" w:hAnsi="Times New Roman"/>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24 773</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476 648</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52,0</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14</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Райффайзен</w:t>
            </w:r>
            <w:proofErr w:type="spellEnd"/>
            <w:r w:rsidRPr="00333E69">
              <w:rPr>
                <w:rFonts w:ascii="Times New Roman" w:hAnsi="Times New Roman"/>
                <w:sz w:val="20"/>
                <w:szCs w:val="20"/>
                <w:lang w:eastAsia="ru-RU"/>
              </w:rPr>
              <w:t>"</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13 575</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127 584</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106,4</w:t>
            </w:r>
          </w:p>
        </w:tc>
      </w:tr>
      <w:tr w:rsidR="00E87860" w:rsidRPr="00436287" w:rsidTr="00116BF3">
        <w:trPr>
          <w:trHeight w:val="792"/>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15</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НОНПФ Национальный негосударственный пенсионный 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12 536</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322 010</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38,9</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16</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w:t>
            </w:r>
            <w:proofErr w:type="spellStart"/>
            <w:r w:rsidRPr="00333E69">
              <w:rPr>
                <w:rFonts w:ascii="Times New Roman" w:hAnsi="Times New Roman"/>
                <w:sz w:val="20"/>
                <w:szCs w:val="20"/>
                <w:lang w:eastAsia="ru-RU"/>
              </w:rPr>
              <w:t>СберФонд</w:t>
            </w:r>
            <w:proofErr w:type="spellEnd"/>
            <w:r w:rsidRPr="00333E69">
              <w:rPr>
                <w:rFonts w:ascii="Times New Roman" w:hAnsi="Times New Roman"/>
                <w:sz w:val="20"/>
                <w:szCs w:val="20"/>
                <w:lang w:eastAsia="ru-RU"/>
              </w:rPr>
              <w:t xml:space="preserve"> РЕСО"</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 xml:space="preserve">12 </w:t>
            </w:r>
            <w:r w:rsidRPr="00333E69">
              <w:rPr>
                <w:rFonts w:ascii="Times New Roman" w:hAnsi="Times New Roman"/>
                <w:sz w:val="20"/>
                <w:szCs w:val="20"/>
                <w:lang w:eastAsia="ru-RU"/>
              </w:rPr>
              <w:lastRenderedPageBreak/>
              <w:t>479</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lastRenderedPageBreak/>
              <w:t xml:space="preserve">230 </w:t>
            </w:r>
            <w:r w:rsidRPr="00333E69">
              <w:rPr>
                <w:rFonts w:ascii="Times New Roman" w:hAnsi="Times New Roman"/>
                <w:sz w:val="20"/>
                <w:szCs w:val="20"/>
                <w:lang w:eastAsia="ru-RU"/>
              </w:rPr>
              <w:lastRenderedPageBreak/>
              <w:t>372</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lastRenderedPageBreak/>
              <w:t>5</w:t>
            </w:r>
            <w:r w:rsidRPr="00333E69">
              <w:rPr>
                <w:rFonts w:ascii="Times New Roman" w:hAnsi="Times New Roman"/>
                <w:color w:val="000000"/>
                <w:sz w:val="20"/>
                <w:szCs w:val="20"/>
                <w:lang w:eastAsia="ru-RU"/>
              </w:rPr>
              <w:lastRenderedPageBreak/>
              <w:t>4,2</w:t>
            </w:r>
          </w:p>
        </w:tc>
      </w:tr>
      <w:tr w:rsidR="00E87860" w:rsidRPr="00436287" w:rsidTr="00116BF3">
        <w:trPr>
          <w:trHeight w:val="52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lastRenderedPageBreak/>
              <w:t>17</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"Европейский пенсионный фонд"</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11 971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228 626</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52,4</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18</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"Социум"</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11 381</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277 809</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41,0</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19</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НПФ "РЕГИОНФОНД"</w:t>
            </w:r>
          </w:p>
        </w:tc>
        <w:tc>
          <w:tcPr>
            <w:tcW w:w="1456" w:type="dxa"/>
            <w:tcBorders>
              <w:top w:val="nil"/>
              <w:left w:val="nil"/>
              <w:bottom w:val="single" w:sz="4" w:space="0" w:color="auto"/>
              <w:right w:val="single" w:sz="4" w:space="0" w:color="auto"/>
            </w:tcBorders>
            <w:noWrap/>
            <w:vAlign w:val="center"/>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9 855</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315 005</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31,3</w:t>
            </w:r>
          </w:p>
        </w:tc>
      </w:tr>
      <w:tr w:rsidR="00E87860" w:rsidRPr="00436287" w:rsidTr="00116BF3">
        <w:trPr>
          <w:trHeight w:val="288"/>
        </w:trPr>
        <w:tc>
          <w:tcPr>
            <w:tcW w:w="1291" w:type="dxa"/>
            <w:tcBorders>
              <w:top w:val="nil"/>
              <w:left w:val="single" w:sz="4" w:space="0" w:color="auto"/>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20</w:t>
            </w:r>
          </w:p>
        </w:tc>
        <w:tc>
          <w:tcPr>
            <w:tcW w:w="3080"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Ханты-Мансийский НПФ</w:t>
            </w:r>
          </w:p>
        </w:tc>
        <w:tc>
          <w:tcPr>
            <w:tcW w:w="1456"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А</w:t>
            </w:r>
          </w:p>
        </w:tc>
        <w:tc>
          <w:tcPr>
            <w:tcW w:w="1418"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9 608</w:t>
            </w:r>
          </w:p>
        </w:tc>
        <w:tc>
          <w:tcPr>
            <w:tcW w:w="1261" w:type="dxa"/>
            <w:tcBorders>
              <w:top w:val="nil"/>
              <w:left w:val="nil"/>
              <w:bottom w:val="single" w:sz="4" w:space="0" w:color="auto"/>
              <w:right w:val="single" w:sz="4" w:space="0" w:color="auto"/>
            </w:tcBorders>
            <w:vAlign w:val="center"/>
          </w:tcPr>
          <w:p w:rsidR="00E87860" w:rsidRPr="00333E69" w:rsidRDefault="00E87860" w:rsidP="00E87860">
            <w:pPr>
              <w:spacing w:after="0" w:line="360" w:lineRule="auto"/>
              <w:ind w:firstLine="709"/>
              <w:jc w:val="both"/>
              <w:rPr>
                <w:rFonts w:ascii="Times New Roman" w:hAnsi="Times New Roman"/>
                <w:sz w:val="20"/>
                <w:szCs w:val="20"/>
                <w:lang w:eastAsia="ru-RU"/>
              </w:rPr>
            </w:pPr>
            <w:r w:rsidRPr="00333E69">
              <w:rPr>
                <w:rFonts w:ascii="Times New Roman" w:hAnsi="Times New Roman"/>
                <w:sz w:val="20"/>
                <w:szCs w:val="20"/>
                <w:lang w:eastAsia="ru-RU"/>
              </w:rPr>
              <w:t>138 720</w:t>
            </w:r>
          </w:p>
        </w:tc>
        <w:tc>
          <w:tcPr>
            <w:tcW w:w="1097" w:type="dxa"/>
            <w:tcBorders>
              <w:top w:val="nil"/>
              <w:left w:val="nil"/>
              <w:bottom w:val="single" w:sz="4" w:space="0" w:color="auto"/>
              <w:right w:val="single" w:sz="4" w:space="0" w:color="auto"/>
            </w:tcBorders>
            <w:noWrap/>
            <w:vAlign w:val="bottom"/>
          </w:tcPr>
          <w:p w:rsidR="00E87860" w:rsidRPr="00333E69" w:rsidRDefault="00E87860" w:rsidP="00E87860">
            <w:pPr>
              <w:spacing w:after="0" w:line="360" w:lineRule="auto"/>
              <w:ind w:firstLine="709"/>
              <w:jc w:val="both"/>
              <w:rPr>
                <w:rFonts w:ascii="Times New Roman" w:hAnsi="Times New Roman"/>
                <w:color w:val="000000"/>
                <w:sz w:val="20"/>
                <w:szCs w:val="20"/>
                <w:lang w:eastAsia="ru-RU"/>
              </w:rPr>
            </w:pPr>
            <w:r w:rsidRPr="00333E69">
              <w:rPr>
                <w:rFonts w:ascii="Times New Roman" w:hAnsi="Times New Roman"/>
                <w:color w:val="000000"/>
                <w:sz w:val="20"/>
                <w:szCs w:val="20"/>
                <w:lang w:eastAsia="ru-RU"/>
              </w:rPr>
              <w:t>69,3</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СБРФР</w:t>
      </w:r>
    </w:p>
    <w:p w:rsidR="00E87860" w:rsidRDefault="00E87860" w:rsidP="00E87860">
      <w:pPr>
        <w:spacing w:after="0" w:line="360" w:lineRule="auto"/>
        <w:ind w:firstLine="709"/>
        <w:jc w:val="both"/>
        <w:rPr>
          <w:rFonts w:ascii="Times New Roman" w:hAnsi="Times New Roman"/>
          <w:b/>
          <w:sz w:val="24"/>
          <w:szCs w:val="24"/>
        </w:rPr>
      </w:pPr>
    </w:p>
    <w:p w:rsidR="00E87860" w:rsidRDefault="00E87860" w:rsidP="00E87860">
      <w:pPr>
        <w:spacing w:after="0" w:line="360" w:lineRule="auto"/>
        <w:ind w:firstLine="709"/>
        <w:jc w:val="both"/>
        <w:rPr>
          <w:rFonts w:ascii="Times New Roman" w:hAnsi="Times New Roman"/>
          <w:b/>
          <w:sz w:val="24"/>
          <w:szCs w:val="24"/>
        </w:rPr>
      </w:pPr>
      <w:r w:rsidRPr="00D37E90">
        <w:rPr>
          <w:rFonts w:ascii="Times New Roman" w:hAnsi="Times New Roman"/>
          <w:b/>
          <w:sz w:val="24"/>
          <w:szCs w:val="24"/>
        </w:rPr>
        <w:t>Таблица №</w:t>
      </w:r>
      <w:r>
        <w:rPr>
          <w:rFonts w:ascii="Times New Roman" w:hAnsi="Times New Roman"/>
          <w:b/>
          <w:sz w:val="24"/>
          <w:szCs w:val="24"/>
        </w:rPr>
        <w:t>5</w:t>
      </w:r>
      <w:r w:rsidRPr="00D37E90">
        <w:rPr>
          <w:rFonts w:ascii="Times New Roman" w:hAnsi="Times New Roman"/>
          <w:b/>
          <w:sz w:val="24"/>
          <w:szCs w:val="24"/>
        </w:rPr>
        <w:t xml:space="preserve">. </w:t>
      </w:r>
      <w:proofErr w:type="gramStart"/>
      <w:r w:rsidRPr="00D37E90">
        <w:rPr>
          <w:rFonts w:ascii="Times New Roman" w:hAnsi="Times New Roman"/>
          <w:b/>
          <w:sz w:val="24"/>
          <w:szCs w:val="24"/>
        </w:rPr>
        <w:t>Крупнейшие</w:t>
      </w:r>
      <w:proofErr w:type="gramEnd"/>
      <w:r w:rsidRPr="00D37E90">
        <w:rPr>
          <w:rFonts w:ascii="Times New Roman" w:hAnsi="Times New Roman"/>
          <w:b/>
          <w:sz w:val="24"/>
          <w:szCs w:val="24"/>
        </w:rPr>
        <w:t xml:space="preserve"> НПФ по </w:t>
      </w:r>
      <w:r>
        <w:rPr>
          <w:rFonts w:ascii="Times New Roman" w:hAnsi="Times New Roman"/>
          <w:b/>
          <w:sz w:val="24"/>
          <w:szCs w:val="24"/>
        </w:rPr>
        <w:t>количеству застрахованных лиц</w:t>
      </w:r>
      <w:r w:rsidRPr="00D37E90">
        <w:rPr>
          <w:rFonts w:ascii="Times New Roman" w:hAnsi="Times New Roman"/>
          <w:b/>
          <w:sz w:val="24"/>
          <w:szCs w:val="24"/>
        </w:rPr>
        <w:t xml:space="preserve"> на 30.09.2013</w:t>
      </w:r>
    </w:p>
    <w:tbl>
      <w:tblPr>
        <w:tblW w:w="9640" w:type="dxa"/>
        <w:tblInd w:w="-601" w:type="dxa"/>
        <w:tblLayout w:type="fixed"/>
        <w:tblLook w:val="00A0" w:firstRow="1" w:lastRow="0" w:firstColumn="1" w:lastColumn="0" w:noHBand="0" w:noVBand="0"/>
      </w:tblPr>
      <w:tblGrid>
        <w:gridCol w:w="1276"/>
        <w:gridCol w:w="3119"/>
        <w:gridCol w:w="1417"/>
        <w:gridCol w:w="1560"/>
        <w:gridCol w:w="2268"/>
      </w:tblGrid>
      <w:tr w:rsidR="00E87860" w:rsidRPr="00436287" w:rsidTr="00116BF3">
        <w:trPr>
          <w:trHeight w:val="1056"/>
        </w:trPr>
        <w:tc>
          <w:tcPr>
            <w:tcW w:w="1276" w:type="dxa"/>
            <w:tcBorders>
              <w:top w:val="single" w:sz="4" w:space="0" w:color="auto"/>
              <w:left w:val="single" w:sz="4" w:space="0" w:color="auto"/>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Место по количеству застрахованных лиц на 30.09.2013, по данным СБРФР</w:t>
            </w:r>
          </w:p>
        </w:tc>
        <w:tc>
          <w:tcPr>
            <w:tcW w:w="3119" w:type="dxa"/>
            <w:tcBorders>
              <w:top w:val="single" w:sz="4" w:space="0" w:color="auto"/>
              <w:left w:val="nil"/>
              <w:bottom w:val="single" w:sz="4" w:space="0" w:color="auto"/>
              <w:right w:val="single" w:sz="4" w:space="0" w:color="auto"/>
            </w:tcBorders>
            <w:shd w:val="clear" w:color="000000" w:fill="FF0000"/>
            <w:noWrap/>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 xml:space="preserve">Фонд </w:t>
            </w:r>
          </w:p>
        </w:tc>
        <w:tc>
          <w:tcPr>
            <w:tcW w:w="1417" w:type="dxa"/>
            <w:tcBorders>
              <w:top w:val="single" w:sz="4" w:space="0" w:color="auto"/>
              <w:left w:val="nil"/>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 xml:space="preserve">Рейтинг надежности НПФ </w:t>
            </w:r>
            <w:proofErr w:type="gramStart"/>
            <w:r w:rsidRPr="0094441A">
              <w:rPr>
                <w:rFonts w:ascii="Times New Roman" w:hAnsi="Times New Roman"/>
                <w:color w:val="FFFFFF"/>
                <w:sz w:val="20"/>
                <w:szCs w:val="20"/>
                <w:lang w:eastAsia="ru-RU"/>
              </w:rPr>
              <w:t>от</w:t>
            </w:r>
            <w:proofErr w:type="gramEnd"/>
            <w:r w:rsidRPr="0094441A">
              <w:rPr>
                <w:rFonts w:ascii="Times New Roman" w:hAnsi="Times New Roman"/>
                <w:color w:val="FFFFFF"/>
                <w:sz w:val="20"/>
                <w:szCs w:val="20"/>
                <w:lang w:eastAsia="ru-RU"/>
              </w:rPr>
              <w:t xml:space="preserve"> "</w:t>
            </w:r>
            <w:proofErr w:type="gramStart"/>
            <w:r w:rsidRPr="0094441A">
              <w:rPr>
                <w:rFonts w:ascii="Times New Roman" w:hAnsi="Times New Roman"/>
                <w:color w:val="FFFFFF"/>
                <w:sz w:val="20"/>
                <w:szCs w:val="20"/>
                <w:lang w:eastAsia="ru-RU"/>
              </w:rPr>
              <w:t>Эксперт</w:t>
            </w:r>
            <w:proofErr w:type="gramEnd"/>
            <w:r w:rsidRPr="0094441A">
              <w:rPr>
                <w:rFonts w:ascii="Times New Roman" w:hAnsi="Times New Roman"/>
                <w:color w:val="FFFFFF"/>
                <w:sz w:val="20"/>
                <w:szCs w:val="20"/>
                <w:lang w:eastAsia="ru-RU"/>
              </w:rPr>
              <w:t xml:space="preserve"> РА"</w:t>
            </w:r>
          </w:p>
        </w:tc>
        <w:tc>
          <w:tcPr>
            <w:tcW w:w="1560" w:type="dxa"/>
            <w:tcBorders>
              <w:top w:val="single" w:sz="4" w:space="0" w:color="auto"/>
              <w:left w:val="nil"/>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Кол-во застрахованных лиц, человек</w:t>
            </w:r>
          </w:p>
        </w:tc>
        <w:tc>
          <w:tcPr>
            <w:tcW w:w="2268" w:type="dxa"/>
            <w:tcBorders>
              <w:top w:val="single" w:sz="4" w:space="0" w:color="auto"/>
              <w:left w:val="nil"/>
              <w:bottom w:val="single" w:sz="4" w:space="0" w:color="auto"/>
              <w:right w:val="single" w:sz="4" w:space="0" w:color="auto"/>
            </w:tcBorders>
            <w:shd w:val="clear" w:color="000000" w:fill="FF0000"/>
            <w:vAlign w:val="center"/>
          </w:tcPr>
          <w:p w:rsidR="00E87860" w:rsidRPr="0094441A" w:rsidRDefault="00E87860" w:rsidP="00E87860">
            <w:pPr>
              <w:spacing w:after="0" w:line="360" w:lineRule="auto"/>
              <w:ind w:firstLine="709"/>
              <w:jc w:val="both"/>
              <w:rPr>
                <w:rFonts w:ascii="Times New Roman" w:hAnsi="Times New Roman"/>
                <w:color w:val="FFFFFF"/>
                <w:sz w:val="20"/>
                <w:szCs w:val="20"/>
                <w:lang w:eastAsia="ru-RU"/>
              </w:rPr>
            </w:pPr>
            <w:r w:rsidRPr="0094441A">
              <w:rPr>
                <w:rFonts w:ascii="Times New Roman" w:hAnsi="Times New Roman"/>
                <w:color w:val="FFFFFF"/>
                <w:sz w:val="20"/>
                <w:szCs w:val="20"/>
                <w:lang w:eastAsia="ru-RU"/>
              </w:rPr>
              <w:t xml:space="preserve">Объем пенсионных накоплений НПФ на 30.09.2013, </w:t>
            </w:r>
            <w:proofErr w:type="gramStart"/>
            <w:r w:rsidRPr="0094441A">
              <w:rPr>
                <w:rFonts w:ascii="Times New Roman" w:hAnsi="Times New Roman"/>
                <w:color w:val="FFFFFF"/>
                <w:sz w:val="20"/>
                <w:szCs w:val="20"/>
                <w:lang w:eastAsia="ru-RU"/>
              </w:rPr>
              <w:t>млн</w:t>
            </w:r>
            <w:proofErr w:type="gramEnd"/>
            <w:r w:rsidRPr="0094441A">
              <w:rPr>
                <w:rFonts w:ascii="Times New Roman" w:hAnsi="Times New Roman"/>
                <w:color w:val="FFFFFF"/>
                <w:sz w:val="20"/>
                <w:szCs w:val="20"/>
                <w:lang w:eastAsia="ru-RU"/>
              </w:rPr>
              <w:t xml:space="preserve"> рублей</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НО "НПФ ЛУКОЙЛ-ГАРАНТ"</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2 318 819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126 477</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2</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 xml:space="preserve">КИТ </w:t>
            </w:r>
            <w:proofErr w:type="spellStart"/>
            <w:r w:rsidRPr="0094441A">
              <w:rPr>
                <w:rFonts w:ascii="Times New Roman" w:hAnsi="Times New Roman"/>
                <w:sz w:val="20"/>
                <w:szCs w:val="20"/>
                <w:lang w:eastAsia="ru-RU"/>
              </w:rPr>
              <w:t>Финанс</w:t>
            </w:r>
            <w:proofErr w:type="spellEnd"/>
            <w:r w:rsidRPr="0094441A">
              <w:rPr>
                <w:rFonts w:ascii="Times New Roman" w:hAnsi="Times New Roman"/>
                <w:sz w:val="20"/>
                <w:szCs w:val="20"/>
                <w:lang w:eastAsia="ru-RU"/>
              </w:rPr>
              <w:t xml:space="preserve"> НПФ</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1 869 828</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56 354</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3</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"БЛАГОСОСТОЯНИЕ"</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1 767 816</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105 969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4</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w:t>
            </w:r>
            <w:proofErr w:type="spellStart"/>
            <w:r w:rsidRPr="0094441A">
              <w:rPr>
                <w:rFonts w:ascii="Times New Roman" w:hAnsi="Times New Roman"/>
                <w:sz w:val="20"/>
                <w:szCs w:val="20"/>
                <w:lang w:eastAsia="ru-RU"/>
              </w:rPr>
              <w:t>Промагрофонд</w:t>
            </w:r>
            <w:proofErr w:type="spellEnd"/>
            <w:r w:rsidRPr="0094441A">
              <w:rPr>
                <w:rFonts w:ascii="Times New Roman" w:hAnsi="Times New Roman"/>
                <w:sz w:val="20"/>
                <w:szCs w:val="20"/>
                <w:lang w:eastAsia="ru-RU"/>
              </w:rPr>
              <w:t>"</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1 628 343</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47 682</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"РГС"</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1 556 487</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58 421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6</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Сбербанка</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1 043 133</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67 293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7</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«Наследие»</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1 031 625</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45 824</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8</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w:t>
            </w:r>
            <w:proofErr w:type="spellStart"/>
            <w:r w:rsidRPr="0094441A">
              <w:rPr>
                <w:rFonts w:ascii="Times New Roman" w:hAnsi="Times New Roman"/>
                <w:sz w:val="20"/>
                <w:szCs w:val="20"/>
                <w:lang w:eastAsia="ru-RU"/>
              </w:rPr>
              <w:t>СтальФонд</w:t>
            </w:r>
            <w:proofErr w:type="spellEnd"/>
            <w:r w:rsidRPr="0094441A">
              <w:rPr>
                <w:rFonts w:ascii="Times New Roman" w:hAnsi="Times New Roman"/>
                <w:sz w:val="20"/>
                <w:szCs w:val="20"/>
                <w:lang w:eastAsia="ru-RU"/>
              </w:rPr>
              <w:t>"</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1 000 415</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32 819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9</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электроэнергетики</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1 000 401</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58 304</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10</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ВТБ Пенсионный 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 xml:space="preserve">983 </w:t>
            </w:r>
            <w:r w:rsidRPr="0094441A">
              <w:rPr>
                <w:rFonts w:ascii="Times New Roman" w:hAnsi="Times New Roman"/>
                <w:sz w:val="20"/>
                <w:szCs w:val="20"/>
                <w:lang w:eastAsia="ru-RU"/>
              </w:rPr>
              <w:lastRenderedPageBreak/>
              <w:t>779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lastRenderedPageBreak/>
              <w:t>57 606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lastRenderedPageBreak/>
              <w:t>11</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"Ренессанс Жизнь и Пенсии"</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807 618</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30 020</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"ГАЗФОНД"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730 346</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56 761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13</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МН "БПФ"</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476 648</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24 773</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14</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"Доверие"</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369 267</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9 460</w:t>
            </w:r>
          </w:p>
        </w:tc>
      </w:tr>
      <w:tr w:rsidR="00E87860" w:rsidRPr="00436287" w:rsidTr="00116BF3">
        <w:trPr>
          <w:trHeight w:val="52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15</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НОНПФ Национальный негосударственный пенсионный 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322 010</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12 536</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16</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"РЕГИОНФОНД"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315 005</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9 855</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17</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"Социум"</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277 809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11 381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18</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w:t>
            </w:r>
            <w:proofErr w:type="spellStart"/>
            <w:r w:rsidRPr="0094441A">
              <w:rPr>
                <w:rFonts w:ascii="Times New Roman" w:hAnsi="Times New Roman"/>
                <w:sz w:val="20"/>
                <w:szCs w:val="20"/>
                <w:lang w:eastAsia="ru-RU"/>
              </w:rPr>
              <w:t>СберФонд</w:t>
            </w:r>
            <w:proofErr w:type="spellEnd"/>
            <w:r w:rsidRPr="0094441A">
              <w:rPr>
                <w:rFonts w:ascii="Times New Roman" w:hAnsi="Times New Roman"/>
                <w:sz w:val="20"/>
                <w:szCs w:val="20"/>
                <w:lang w:eastAsia="ru-RU"/>
              </w:rPr>
              <w:t xml:space="preserve"> РЕСО"</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230 372</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12 479</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19</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"Европейский пенсионный фонд"</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А+</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228 626</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11 971</w:t>
            </w:r>
          </w:p>
        </w:tc>
      </w:tr>
      <w:tr w:rsidR="00E87860" w:rsidRPr="00436287" w:rsidTr="00116BF3">
        <w:trPr>
          <w:trHeight w:val="288"/>
        </w:trPr>
        <w:tc>
          <w:tcPr>
            <w:tcW w:w="1276" w:type="dxa"/>
            <w:tcBorders>
              <w:top w:val="nil"/>
              <w:left w:val="single" w:sz="4" w:space="0" w:color="auto"/>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20</w:t>
            </w:r>
          </w:p>
        </w:tc>
        <w:tc>
          <w:tcPr>
            <w:tcW w:w="3119"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НПФ "Магнит"</w:t>
            </w:r>
          </w:p>
        </w:tc>
        <w:tc>
          <w:tcPr>
            <w:tcW w:w="1417"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w:t>
            </w:r>
          </w:p>
        </w:tc>
        <w:tc>
          <w:tcPr>
            <w:tcW w:w="1560" w:type="dxa"/>
            <w:tcBorders>
              <w:top w:val="nil"/>
              <w:left w:val="nil"/>
              <w:bottom w:val="single" w:sz="4" w:space="0" w:color="auto"/>
              <w:right w:val="single" w:sz="4" w:space="0" w:color="auto"/>
            </w:tcBorders>
            <w:vAlign w:val="center"/>
          </w:tcPr>
          <w:p w:rsidR="00E87860" w:rsidRPr="0094441A" w:rsidRDefault="00E87860" w:rsidP="00E87860">
            <w:pPr>
              <w:spacing w:after="0" w:line="360" w:lineRule="auto"/>
              <w:ind w:firstLine="709"/>
              <w:jc w:val="both"/>
              <w:rPr>
                <w:rFonts w:ascii="Times New Roman" w:hAnsi="Times New Roman"/>
                <w:sz w:val="20"/>
                <w:szCs w:val="20"/>
                <w:lang w:eastAsia="ru-RU"/>
              </w:rPr>
            </w:pPr>
            <w:r w:rsidRPr="0094441A">
              <w:rPr>
                <w:rFonts w:ascii="Times New Roman" w:hAnsi="Times New Roman"/>
                <w:sz w:val="20"/>
                <w:szCs w:val="20"/>
                <w:lang w:eastAsia="ru-RU"/>
              </w:rPr>
              <w:t>208 719</w:t>
            </w:r>
          </w:p>
        </w:tc>
        <w:tc>
          <w:tcPr>
            <w:tcW w:w="2268" w:type="dxa"/>
            <w:tcBorders>
              <w:top w:val="nil"/>
              <w:left w:val="nil"/>
              <w:bottom w:val="single" w:sz="4" w:space="0" w:color="auto"/>
              <w:right w:val="single" w:sz="4" w:space="0" w:color="auto"/>
            </w:tcBorders>
            <w:noWrap/>
            <w:vAlign w:val="bottom"/>
          </w:tcPr>
          <w:p w:rsidR="00E87860" w:rsidRPr="0094441A" w:rsidRDefault="00E87860" w:rsidP="00E87860">
            <w:pPr>
              <w:spacing w:after="0" w:line="360" w:lineRule="auto"/>
              <w:ind w:firstLine="709"/>
              <w:jc w:val="both"/>
              <w:rPr>
                <w:rFonts w:ascii="Times New Roman" w:hAnsi="Times New Roman"/>
                <w:color w:val="000000"/>
                <w:sz w:val="20"/>
                <w:szCs w:val="20"/>
                <w:lang w:eastAsia="ru-RU"/>
              </w:rPr>
            </w:pPr>
            <w:r w:rsidRPr="0094441A">
              <w:rPr>
                <w:rFonts w:ascii="Times New Roman" w:hAnsi="Times New Roman"/>
                <w:color w:val="000000"/>
                <w:sz w:val="20"/>
                <w:szCs w:val="20"/>
                <w:lang w:eastAsia="ru-RU"/>
              </w:rPr>
              <w:t>8 364</w:t>
            </w:r>
          </w:p>
        </w:tc>
      </w:tr>
    </w:tbl>
    <w:p w:rsidR="00E87860" w:rsidRPr="00032453" w:rsidRDefault="00E87860" w:rsidP="00E87860">
      <w:pPr>
        <w:spacing w:after="0" w:line="360" w:lineRule="auto"/>
        <w:ind w:firstLine="709"/>
        <w:jc w:val="both"/>
        <w:rPr>
          <w:rFonts w:ascii="Times New Roman" w:hAnsi="Times New Roman"/>
          <w:i/>
          <w:sz w:val="20"/>
          <w:szCs w:val="20"/>
        </w:rPr>
      </w:pPr>
      <w:r>
        <w:rPr>
          <w:rFonts w:ascii="Times New Roman" w:hAnsi="Times New Roman"/>
          <w:i/>
          <w:sz w:val="20"/>
          <w:szCs w:val="20"/>
        </w:rPr>
        <w:t xml:space="preserve">Источник: </w:t>
      </w:r>
      <w:r w:rsidRPr="00032453">
        <w:rPr>
          <w:rFonts w:ascii="Times New Roman" w:hAnsi="Times New Roman"/>
          <w:i/>
          <w:sz w:val="20"/>
          <w:szCs w:val="20"/>
        </w:rPr>
        <w:t>«Эксперт РА»</w:t>
      </w:r>
      <w:r w:rsidRPr="00E94962">
        <w:rPr>
          <w:rFonts w:ascii="Times New Roman" w:hAnsi="Times New Roman"/>
          <w:i/>
          <w:sz w:val="20"/>
          <w:szCs w:val="20"/>
        </w:rPr>
        <w:t xml:space="preserve"> </w:t>
      </w:r>
      <w:r>
        <w:rPr>
          <w:rFonts w:ascii="Times New Roman" w:hAnsi="Times New Roman"/>
          <w:i/>
          <w:sz w:val="20"/>
          <w:szCs w:val="20"/>
        </w:rPr>
        <w:t>п</w:t>
      </w:r>
      <w:r w:rsidRPr="00032453">
        <w:rPr>
          <w:rFonts w:ascii="Times New Roman" w:hAnsi="Times New Roman"/>
          <w:i/>
          <w:sz w:val="20"/>
          <w:szCs w:val="20"/>
        </w:rPr>
        <w:t>о данным</w:t>
      </w:r>
      <w:r>
        <w:rPr>
          <w:rFonts w:ascii="Times New Roman" w:hAnsi="Times New Roman"/>
          <w:i/>
          <w:sz w:val="20"/>
          <w:szCs w:val="20"/>
        </w:rPr>
        <w:t xml:space="preserve"> СБРФР</w:t>
      </w:r>
    </w:p>
    <w:p w:rsidR="00E87860" w:rsidRPr="00F725FF" w:rsidRDefault="00E87860" w:rsidP="00E87860">
      <w:pPr>
        <w:spacing w:after="0" w:line="360" w:lineRule="auto"/>
        <w:ind w:firstLine="709"/>
        <w:jc w:val="both"/>
        <w:rPr>
          <w:rFonts w:ascii="Times New Roman" w:hAnsi="Times New Roman"/>
          <w:sz w:val="24"/>
          <w:szCs w:val="24"/>
        </w:rPr>
      </w:pPr>
    </w:p>
    <w:p w:rsidR="00E87860" w:rsidRDefault="00E87860">
      <w:bookmarkStart w:id="1" w:name="_GoBack"/>
      <w:bookmarkEnd w:id="1"/>
    </w:p>
    <w:sectPr w:rsidR="00E87860">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12" w:rsidRDefault="00831F12" w:rsidP="00E30FE8">
      <w:pPr>
        <w:spacing w:after="0" w:line="240" w:lineRule="auto"/>
      </w:pPr>
      <w:r>
        <w:separator/>
      </w:r>
    </w:p>
  </w:endnote>
  <w:endnote w:type="continuationSeparator" w:id="0">
    <w:p w:rsidR="00831F12" w:rsidRDefault="00831F12" w:rsidP="00E3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12" w:rsidRDefault="00831F12" w:rsidP="00E30FE8">
      <w:pPr>
        <w:spacing w:after="0" w:line="240" w:lineRule="auto"/>
      </w:pPr>
      <w:r>
        <w:separator/>
      </w:r>
    </w:p>
  </w:footnote>
  <w:footnote w:type="continuationSeparator" w:id="0">
    <w:p w:rsidR="00831F12" w:rsidRDefault="00831F12" w:rsidP="00E30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12511"/>
      <w:docPartObj>
        <w:docPartGallery w:val="Page Numbers (Top of Page)"/>
        <w:docPartUnique/>
      </w:docPartObj>
    </w:sdtPr>
    <w:sdtEndPr/>
    <w:sdtContent>
      <w:p w:rsidR="00116BF3" w:rsidRDefault="00116BF3">
        <w:pPr>
          <w:pStyle w:val="af8"/>
          <w:jc w:val="right"/>
        </w:pPr>
        <w:r>
          <w:fldChar w:fldCharType="begin"/>
        </w:r>
        <w:r>
          <w:instrText>PAGE   \* MERGEFORMAT</w:instrText>
        </w:r>
        <w:r>
          <w:fldChar w:fldCharType="separate"/>
        </w:r>
        <w:r w:rsidR="004564AD">
          <w:rPr>
            <w:noProof/>
          </w:rPr>
          <w:t>62</w:t>
        </w:r>
        <w:r>
          <w:fldChar w:fldCharType="end"/>
        </w:r>
      </w:p>
    </w:sdtContent>
  </w:sdt>
  <w:p w:rsidR="00116BF3" w:rsidRDefault="00116BF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072"/>
    <w:multiLevelType w:val="hybridMultilevel"/>
    <w:tmpl w:val="D10403E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3DE305A"/>
    <w:multiLevelType w:val="hybridMultilevel"/>
    <w:tmpl w:val="49281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2D6FA1"/>
    <w:multiLevelType w:val="hybridMultilevel"/>
    <w:tmpl w:val="8E62C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0760CF"/>
    <w:multiLevelType w:val="hybridMultilevel"/>
    <w:tmpl w:val="5DF6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B59D2"/>
    <w:multiLevelType w:val="hybridMultilevel"/>
    <w:tmpl w:val="F1DA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83F10"/>
    <w:multiLevelType w:val="hybridMultilevel"/>
    <w:tmpl w:val="329039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60"/>
    <w:rsid w:val="00015D5A"/>
    <w:rsid w:val="000824F8"/>
    <w:rsid w:val="00116BF3"/>
    <w:rsid w:val="004111E5"/>
    <w:rsid w:val="00412FEC"/>
    <w:rsid w:val="004450BD"/>
    <w:rsid w:val="004564AD"/>
    <w:rsid w:val="00831F12"/>
    <w:rsid w:val="00A342CA"/>
    <w:rsid w:val="00A43D58"/>
    <w:rsid w:val="00BB5164"/>
    <w:rsid w:val="00BF3D3F"/>
    <w:rsid w:val="00D44266"/>
    <w:rsid w:val="00E30FE8"/>
    <w:rsid w:val="00E87860"/>
    <w:rsid w:val="00EC5147"/>
    <w:rsid w:val="00F24759"/>
    <w:rsid w:val="00F36CBC"/>
    <w:rsid w:val="00FA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60"/>
  </w:style>
  <w:style w:type="paragraph" w:styleId="1">
    <w:name w:val="heading 1"/>
    <w:basedOn w:val="a0"/>
    <w:next w:val="a0"/>
    <w:link w:val="10"/>
    <w:qFormat/>
    <w:rsid w:val="00E87860"/>
    <w:pPr>
      <w:keepNext/>
      <w:spacing w:before="240" w:after="60"/>
      <w:ind w:firstLine="0"/>
      <w:jc w:val="center"/>
      <w:outlineLvl w:val="0"/>
    </w:pPr>
    <w:rPr>
      <w:rFonts w:ascii="Arial" w:hAnsi="Arial"/>
      <w:kern w:val="28"/>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8786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87860"/>
    <w:rPr>
      <w:rFonts w:ascii="Tahoma" w:hAnsi="Tahoma" w:cs="Tahoma"/>
      <w:sz w:val="16"/>
      <w:szCs w:val="16"/>
    </w:rPr>
  </w:style>
  <w:style w:type="character" w:customStyle="1" w:styleId="10">
    <w:name w:val="Заголовок 1 Знак"/>
    <w:basedOn w:val="a1"/>
    <w:link w:val="1"/>
    <w:rsid w:val="00E87860"/>
    <w:rPr>
      <w:rFonts w:ascii="Arial" w:eastAsia="Times New Roman" w:hAnsi="Arial" w:cs="Times New Roman"/>
      <w:kern w:val="28"/>
      <w:sz w:val="32"/>
      <w:szCs w:val="20"/>
      <w:lang w:eastAsia="ru-RU"/>
    </w:rPr>
  </w:style>
  <w:style w:type="paragraph" w:customStyle="1" w:styleId="a0">
    <w:name w:val="!ОСН"/>
    <w:rsid w:val="00E87860"/>
    <w:pPr>
      <w:spacing w:after="0" w:line="240" w:lineRule="auto"/>
      <w:ind w:firstLine="567"/>
    </w:pPr>
    <w:rPr>
      <w:rFonts w:ascii="Times New Roman" w:eastAsia="Times New Roman" w:hAnsi="Times New Roman" w:cs="Times New Roman"/>
      <w:sz w:val="24"/>
      <w:szCs w:val="20"/>
      <w:lang w:eastAsia="ru-RU"/>
    </w:rPr>
  </w:style>
  <w:style w:type="paragraph" w:customStyle="1" w:styleId="a6">
    <w:name w:val="!№ табл"/>
    <w:basedOn w:val="a0"/>
    <w:next w:val="a0"/>
    <w:rsid w:val="00E87860"/>
    <w:pPr>
      <w:keepNext/>
      <w:spacing w:before="120"/>
      <w:ind w:firstLine="0"/>
      <w:jc w:val="center"/>
    </w:pPr>
    <w:rPr>
      <w:sz w:val="20"/>
    </w:rPr>
  </w:style>
  <w:style w:type="paragraph" w:customStyle="1" w:styleId="a7">
    <w:name w:val="!табл заг"/>
    <w:basedOn w:val="a0"/>
    <w:next w:val="a0"/>
    <w:rsid w:val="00E87860"/>
    <w:pPr>
      <w:keepNext/>
      <w:keepLines/>
      <w:spacing w:before="120" w:after="60"/>
      <w:ind w:firstLine="0"/>
      <w:jc w:val="center"/>
    </w:pPr>
    <w:rPr>
      <w:sz w:val="20"/>
    </w:rPr>
  </w:style>
  <w:style w:type="paragraph" w:customStyle="1" w:styleId="a8">
    <w:name w:val="!список"/>
    <w:basedOn w:val="a"/>
    <w:rsid w:val="00E87860"/>
    <w:pPr>
      <w:spacing w:after="0" w:line="240" w:lineRule="auto"/>
      <w:ind w:left="568" w:hanging="284"/>
    </w:pPr>
    <w:rPr>
      <w:rFonts w:ascii="Times New Roman" w:eastAsia="Times New Roman" w:hAnsi="Times New Roman" w:cs="Times New Roman"/>
      <w:sz w:val="24"/>
      <w:szCs w:val="20"/>
      <w:lang w:eastAsia="ru-RU"/>
    </w:rPr>
  </w:style>
  <w:style w:type="paragraph" w:customStyle="1" w:styleId="a9">
    <w:name w:val="!табл шап"/>
    <w:basedOn w:val="a"/>
    <w:next w:val="a"/>
    <w:rsid w:val="00E87860"/>
    <w:pPr>
      <w:spacing w:after="0" w:line="240" w:lineRule="auto"/>
    </w:pPr>
    <w:rPr>
      <w:rFonts w:ascii="Times New Roman" w:eastAsia="Times New Roman" w:hAnsi="Times New Roman" w:cs="Times New Roman"/>
      <w:b/>
      <w:sz w:val="20"/>
      <w:szCs w:val="20"/>
      <w:lang w:eastAsia="ru-RU"/>
    </w:rPr>
  </w:style>
  <w:style w:type="paragraph" w:customStyle="1" w:styleId="aa">
    <w:name w:val="!табл текст"/>
    <w:rsid w:val="00E87860"/>
    <w:pPr>
      <w:widowControl w:val="0"/>
      <w:tabs>
        <w:tab w:val="left" w:pos="284"/>
      </w:tabs>
      <w:spacing w:after="0" w:line="240" w:lineRule="auto"/>
    </w:pPr>
    <w:rPr>
      <w:rFonts w:ascii="Times New Roman" w:eastAsia="Times New Roman" w:hAnsi="Times New Roman" w:cs="Times New Roman"/>
      <w:sz w:val="20"/>
      <w:szCs w:val="20"/>
      <w:lang w:eastAsia="ru-RU"/>
    </w:rPr>
  </w:style>
  <w:style w:type="table" w:styleId="ab">
    <w:name w:val="Table Grid"/>
    <w:basedOn w:val="a2"/>
    <w:uiPriority w:val="59"/>
    <w:rsid w:val="00E8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E8786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semiHidden/>
    <w:rsid w:val="00E87860"/>
    <w:rPr>
      <w:rFonts w:ascii="Times New Roman" w:eastAsia="Times New Roman" w:hAnsi="Times New Roman" w:cs="Times New Roman"/>
      <w:sz w:val="20"/>
      <w:szCs w:val="20"/>
      <w:lang w:eastAsia="ru-RU"/>
    </w:rPr>
  </w:style>
  <w:style w:type="paragraph" w:customStyle="1" w:styleId="ae">
    <w:name w:val="Отчет"/>
    <w:basedOn w:val="a"/>
    <w:link w:val="af"/>
    <w:rsid w:val="00E87860"/>
    <w:pPr>
      <w:widowControl w:val="0"/>
      <w:autoSpaceDE w:val="0"/>
      <w:autoSpaceDN w:val="0"/>
      <w:adjustRightInd w:val="0"/>
      <w:spacing w:after="0" w:line="240" w:lineRule="auto"/>
      <w:ind w:firstLine="709"/>
      <w:jc w:val="both"/>
    </w:pPr>
    <w:rPr>
      <w:rFonts w:ascii="Arial" w:eastAsia="Times New Roman" w:hAnsi="Arial" w:cs="Times New Roman"/>
      <w:lang w:eastAsia="ru-RU"/>
    </w:rPr>
  </w:style>
  <w:style w:type="character" w:customStyle="1" w:styleId="af">
    <w:name w:val="Отчет Знак"/>
    <w:basedOn w:val="a1"/>
    <w:link w:val="ae"/>
    <w:rsid w:val="00E87860"/>
    <w:rPr>
      <w:rFonts w:ascii="Arial" w:eastAsia="Times New Roman" w:hAnsi="Arial" w:cs="Times New Roman"/>
      <w:lang w:eastAsia="ru-RU"/>
    </w:rPr>
  </w:style>
  <w:style w:type="paragraph" w:styleId="af0">
    <w:name w:val="List Paragraph"/>
    <w:basedOn w:val="a"/>
    <w:uiPriority w:val="99"/>
    <w:qFormat/>
    <w:rsid w:val="00E87860"/>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Normal (Web)"/>
    <w:basedOn w:val="a"/>
    <w:uiPriority w:val="99"/>
    <w:rsid w:val="00E87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Текст документа"/>
    <w:basedOn w:val="af1"/>
    <w:link w:val="af3"/>
    <w:autoRedefine/>
    <w:rsid w:val="00E87860"/>
    <w:pPr>
      <w:spacing w:before="0" w:beforeAutospacing="0" w:after="0" w:afterAutospacing="0"/>
      <w:ind w:firstLine="706"/>
      <w:jc w:val="both"/>
    </w:pPr>
    <w:rPr>
      <w:rFonts w:eastAsia="Verdana"/>
      <w:color w:val="000000"/>
    </w:rPr>
  </w:style>
  <w:style w:type="character" w:customStyle="1" w:styleId="af3">
    <w:name w:val="Текст документа Знак Знак"/>
    <w:basedOn w:val="a1"/>
    <w:link w:val="af2"/>
    <w:rsid w:val="00E87860"/>
    <w:rPr>
      <w:rFonts w:ascii="Times New Roman" w:eastAsia="Verdana" w:hAnsi="Times New Roman" w:cs="Times New Roman"/>
      <w:color w:val="000000"/>
      <w:sz w:val="24"/>
      <w:szCs w:val="24"/>
      <w:lang w:eastAsia="ru-RU"/>
    </w:rPr>
  </w:style>
  <w:style w:type="paragraph" w:styleId="af4">
    <w:name w:val="Body Text Indent"/>
    <w:basedOn w:val="a"/>
    <w:link w:val="af5"/>
    <w:uiPriority w:val="99"/>
    <w:rsid w:val="00E87860"/>
    <w:pPr>
      <w:spacing w:after="0" w:line="240" w:lineRule="auto"/>
      <w:ind w:firstLine="700"/>
      <w:jc w:val="both"/>
    </w:pPr>
    <w:rPr>
      <w:rFonts w:ascii="Times New Roman" w:eastAsia="Times New Roman" w:hAnsi="Times New Roman" w:cs="Times New Roman"/>
      <w:bCs/>
      <w:sz w:val="28"/>
      <w:szCs w:val="28"/>
      <w:lang w:eastAsia="ru-RU"/>
    </w:rPr>
  </w:style>
  <w:style w:type="character" w:customStyle="1" w:styleId="af5">
    <w:name w:val="Основной текст с отступом Знак"/>
    <w:basedOn w:val="a1"/>
    <w:link w:val="af4"/>
    <w:uiPriority w:val="99"/>
    <w:rsid w:val="00E87860"/>
    <w:rPr>
      <w:rFonts w:ascii="Times New Roman" w:eastAsia="Times New Roman" w:hAnsi="Times New Roman" w:cs="Times New Roman"/>
      <w:bCs/>
      <w:sz w:val="28"/>
      <w:szCs w:val="28"/>
      <w:lang w:eastAsia="ru-RU"/>
    </w:rPr>
  </w:style>
  <w:style w:type="paragraph" w:styleId="2">
    <w:name w:val="Body Text 2"/>
    <w:basedOn w:val="a"/>
    <w:link w:val="20"/>
    <w:uiPriority w:val="99"/>
    <w:semiHidden/>
    <w:unhideWhenUsed/>
    <w:rsid w:val="00E8786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semiHidden/>
    <w:rsid w:val="00E8786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8786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semiHidden/>
    <w:rsid w:val="00E87860"/>
    <w:rPr>
      <w:rFonts w:ascii="Times New Roman" w:eastAsia="Times New Roman" w:hAnsi="Times New Roman" w:cs="Times New Roman"/>
      <w:sz w:val="16"/>
      <w:szCs w:val="16"/>
      <w:lang w:eastAsia="ru-RU"/>
    </w:rPr>
  </w:style>
  <w:style w:type="paragraph" w:customStyle="1" w:styleId="ConsPlusNormal">
    <w:name w:val="ConsPlusNormal"/>
    <w:uiPriority w:val="99"/>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78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annotation text"/>
    <w:basedOn w:val="a"/>
    <w:link w:val="af7"/>
    <w:uiPriority w:val="99"/>
    <w:rsid w:val="00E87860"/>
    <w:pPr>
      <w:spacing w:line="240"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rsid w:val="00E87860"/>
    <w:rPr>
      <w:rFonts w:ascii="Calibri" w:eastAsia="Calibri" w:hAnsi="Calibri" w:cs="Times New Roman"/>
      <w:sz w:val="20"/>
      <w:szCs w:val="20"/>
    </w:rPr>
  </w:style>
  <w:style w:type="paragraph" w:styleId="af8">
    <w:name w:val="header"/>
    <w:basedOn w:val="a"/>
    <w:link w:val="af9"/>
    <w:uiPriority w:val="99"/>
    <w:unhideWhenUsed/>
    <w:rsid w:val="00E30FE8"/>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30FE8"/>
  </w:style>
  <w:style w:type="paragraph" w:styleId="afa">
    <w:name w:val="footer"/>
    <w:basedOn w:val="a"/>
    <w:link w:val="afb"/>
    <w:uiPriority w:val="99"/>
    <w:unhideWhenUsed/>
    <w:rsid w:val="00E30FE8"/>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30FE8"/>
  </w:style>
  <w:style w:type="character" w:styleId="afc">
    <w:name w:val="Hyperlink"/>
    <w:basedOn w:val="a1"/>
    <w:uiPriority w:val="99"/>
    <w:semiHidden/>
    <w:unhideWhenUsed/>
    <w:rsid w:val="00BF3D3F"/>
    <w:rPr>
      <w:color w:val="0000FF"/>
      <w:u w:val="single"/>
    </w:rPr>
  </w:style>
  <w:style w:type="character" w:customStyle="1" w:styleId="apple-converted-space">
    <w:name w:val="apple-converted-space"/>
    <w:basedOn w:val="a1"/>
    <w:rsid w:val="00015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60"/>
  </w:style>
  <w:style w:type="paragraph" w:styleId="1">
    <w:name w:val="heading 1"/>
    <w:basedOn w:val="a0"/>
    <w:next w:val="a0"/>
    <w:link w:val="10"/>
    <w:qFormat/>
    <w:rsid w:val="00E87860"/>
    <w:pPr>
      <w:keepNext/>
      <w:spacing w:before="240" w:after="60"/>
      <w:ind w:firstLine="0"/>
      <w:jc w:val="center"/>
      <w:outlineLvl w:val="0"/>
    </w:pPr>
    <w:rPr>
      <w:rFonts w:ascii="Arial" w:hAnsi="Arial"/>
      <w:kern w:val="28"/>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8786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87860"/>
    <w:rPr>
      <w:rFonts w:ascii="Tahoma" w:hAnsi="Tahoma" w:cs="Tahoma"/>
      <w:sz w:val="16"/>
      <w:szCs w:val="16"/>
    </w:rPr>
  </w:style>
  <w:style w:type="character" w:customStyle="1" w:styleId="10">
    <w:name w:val="Заголовок 1 Знак"/>
    <w:basedOn w:val="a1"/>
    <w:link w:val="1"/>
    <w:rsid w:val="00E87860"/>
    <w:rPr>
      <w:rFonts w:ascii="Arial" w:eastAsia="Times New Roman" w:hAnsi="Arial" w:cs="Times New Roman"/>
      <w:kern w:val="28"/>
      <w:sz w:val="32"/>
      <w:szCs w:val="20"/>
      <w:lang w:eastAsia="ru-RU"/>
    </w:rPr>
  </w:style>
  <w:style w:type="paragraph" w:customStyle="1" w:styleId="a0">
    <w:name w:val="!ОСН"/>
    <w:rsid w:val="00E87860"/>
    <w:pPr>
      <w:spacing w:after="0" w:line="240" w:lineRule="auto"/>
      <w:ind w:firstLine="567"/>
    </w:pPr>
    <w:rPr>
      <w:rFonts w:ascii="Times New Roman" w:eastAsia="Times New Roman" w:hAnsi="Times New Roman" w:cs="Times New Roman"/>
      <w:sz w:val="24"/>
      <w:szCs w:val="20"/>
      <w:lang w:eastAsia="ru-RU"/>
    </w:rPr>
  </w:style>
  <w:style w:type="paragraph" w:customStyle="1" w:styleId="a6">
    <w:name w:val="!№ табл"/>
    <w:basedOn w:val="a0"/>
    <w:next w:val="a0"/>
    <w:rsid w:val="00E87860"/>
    <w:pPr>
      <w:keepNext/>
      <w:spacing w:before="120"/>
      <w:ind w:firstLine="0"/>
      <w:jc w:val="center"/>
    </w:pPr>
    <w:rPr>
      <w:sz w:val="20"/>
    </w:rPr>
  </w:style>
  <w:style w:type="paragraph" w:customStyle="1" w:styleId="a7">
    <w:name w:val="!табл заг"/>
    <w:basedOn w:val="a0"/>
    <w:next w:val="a0"/>
    <w:rsid w:val="00E87860"/>
    <w:pPr>
      <w:keepNext/>
      <w:keepLines/>
      <w:spacing w:before="120" w:after="60"/>
      <w:ind w:firstLine="0"/>
      <w:jc w:val="center"/>
    </w:pPr>
    <w:rPr>
      <w:sz w:val="20"/>
    </w:rPr>
  </w:style>
  <w:style w:type="paragraph" w:customStyle="1" w:styleId="a8">
    <w:name w:val="!список"/>
    <w:basedOn w:val="a"/>
    <w:rsid w:val="00E87860"/>
    <w:pPr>
      <w:spacing w:after="0" w:line="240" w:lineRule="auto"/>
      <w:ind w:left="568" w:hanging="284"/>
    </w:pPr>
    <w:rPr>
      <w:rFonts w:ascii="Times New Roman" w:eastAsia="Times New Roman" w:hAnsi="Times New Roman" w:cs="Times New Roman"/>
      <w:sz w:val="24"/>
      <w:szCs w:val="20"/>
      <w:lang w:eastAsia="ru-RU"/>
    </w:rPr>
  </w:style>
  <w:style w:type="paragraph" w:customStyle="1" w:styleId="a9">
    <w:name w:val="!табл шап"/>
    <w:basedOn w:val="a"/>
    <w:next w:val="a"/>
    <w:rsid w:val="00E87860"/>
    <w:pPr>
      <w:spacing w:after="0" w:line="240" w:lineRule="auto"/>
    </w:pPr>
    <w:rPr>
      <w:rFonts w:ascii="Times New Roman" w:eastAsia="Times New Roman" w:hAnsi="Times New Roman" w:cs="Times New Roman"/>
      <w:b/>
      <w:sz w:val="20"/>
      <w:szCs w:val="20"/>
      <w:lang w:eastAsia="ru-RU"/>
    </w:rPr>
  </w:style>
  <w:style w:type="paragraph" w:customStyle="1" w:styleId="aa">
    <w:name w:val="!табл текст"/>
    <w:rsid w:val="00E87860"/>
    <w:pPr>
      <w:widowControl w:val="0"/>
      <w:tabs>
        <w:tab w:val="left" w:pos="284"/>
      </w:tabs>
      <w:spacing w:after="0" w:line="240" w:lineRule="auto"/>
    </w:pPr>
    <w:rPr>
      <w:rFonts w:ascii="Times New Roman" w:eastAsia="Times New Roman" w:hAnsi="Times New Roman" w:cs="Times New Roman"/>
      <w:sz w:val="20"/>
      <w:szCs w:val="20"/>
      <w:lang w:eastAsia="ru-RU"/>
    </w:rPr>
  </w:style>
  <w:style w:type="table" w:styleId="ab">
    <w:name w:val="Table Grid"/>
    <w:basedOn w:val="a2"/>
    <w:uiPriority w:val="59"/>
    <w:rsid w:val="00E8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semiHidden/>
    <w:rsid w:val="00E8786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semiHidden/>
    <w:rsid w:val="00E87860"/>
    <w:rPr>
      <w:rFonts w:ascii="Times New Roman" w:eastAsia="Times New Roman" w:hAnsi="Times New Roman" w:cs="Times New Roman"/>
      <w:sz w:val="20"/>
      <w:szCs w:val="20"/>
      <w:lang w:eastAsia="ru-RU"/>
    </w:rPr>
  </w:style>
  <w:style w:type="paragraph" w:customStyle="1" w:styleId="ae">
    <w:name w:val="Отчет"/>
    <w:basedOn w:val="a"/>
    <w:link w:val="af"/>
    <w:rsid w:val="00E87860"/>
    <w:pPr>
      <w:widowControl w:val="0"/>
      <w:autoSpaceDE w:val="0"/>
      <w:autoSpaceDN w:val="0"/>
      <w:adjustRightInd w:val="0"/>
      <w:spacing w:after="0" w:line="240" w:lineRule="auto"/>
      <w:ind w:firstLine="709"/>
      <w:jc w:val="both"/>
    </w:pPr>
    <w:rPr>
      <w:rFonts w:ascii="Arial" w:eastAsia="Times New Roman" w:hAnsi="Arial" w:cs="Times New Roman"/>
      <w:lang w:eastAsia="ru-RU"/>
    </w:rPr>
  </w:style>
  <w:style w:type="character" w:customStyle="1" w:styleId="af">
    <w:name w:val="Отчет Знак"/>
    <w:basedOn w:val="a1"/>
    <w:link w:val="ae"/>
    <w:rsid w:val="00E87860"/>
    <w:rPr>
      <w:rFonts w:ascii="Arial" w:eastAsia="Times New Roman" w:hAnsi="Arial" w:cs="Times New Roman"/>
      <w:lang w:eastAsia="ru-RU"/>
    </w:rPr>
  </w:style>
  <w:style w:type="paragraph" w:styleId="af0">
    <w:name w:val="List Paragraph"/>
    <w:basedOn w:val="a"/>
    <w:uiPriority w:val="99"/>
    <w:qFormat/>
    <w:rsid w:val="00E87860"/>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Normal (Web)"/>
    <w:basedOn w:val="a"/>
    <w:uiPriority w:val="99"/>
    <w:rsid w:val="00E87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Текст документа"/>
    <w:basedOn w:val="af1"/>
    <w:link w:val="af3"/>
    <w:autoRedefine/>
    <w:rsid w:val="00E87860"/>
    <w:pPr>
      <w:spacing w:before="0" w:beforeAutospacing="0" w:after="0" w:afterAutospacing="0"/>
      <w:ind w:firstLine="706"/>
      <w:jc w:val="both"/>
    </w:pPr>
    <w:rPr>
      <w:rFonts w:eastAsia="Verdana"/>
      <w:color w:val="000000"/>
    </w:rPr>
  </w:style>
  <w:style w:type="character" w:customStyle="1" w:styleId="af3">
    <w:name w:val="Текст документа Знак Знак"/>
    <w:basedOn w:val="a1"/>
    <w:link w:val="af2"/>
    <w:rsid w:val="00E87860"/>
    <w:rPr>
      <w:rFonts w:ascii="Times New Roman" w:eastAsia="Verdana" w:hAnsi="Times New Roman" w:cs="Times New Roman"/>
      <w:color w:val="000000"/>
      <w:sz w:val="24"/>
      <w:szCs w:val="24"/>
      <w:lang w:eastAsia="ru-RU"/>
    </w:rPr>
  </w:style>
  <w:style w:type="paragraph" w:styleId="af4">
    <w:name w:val="Body Text Indent"/>
    <w:basedOn w:val="a"/>
    <w:link w:val="af5"/>
    <w:uiPriority w:val="99"/>
    <w:rsid w:val="00E87860"/>
    <w:pPr>
      <w:spacing w:after="0" w:line="240" w:lineRule="auto"/>
      <w:ind w:firstLine="700"/>
      <w:jc w:val="both"/>
    </w:pPr>
    <w:rPr>
      <w:rFonts w:ascii="Times New Roman" w:eastAsia="Times New Roman" w:hAnsi="Times New Roman" w:cs="Times New Roman"/>
      <w:bCs/>
      <w:sz w:val="28"/>
      <w:szCs w:val="28"/>
      <w:lang w:eastAsia="ru-RU"/>
    </w:rPr>
  </w:style>
  <w:style w:type="character" w:customStyle="1" w:styleId="af5">
    <w:name w:val="Основной текст с отступом Знак"/>
    <w:basedOn w:val="a1"/>
    <w:link w:val="af4"/>
    <w:uiPriority w:val="99"/>
    <w:rsid w:val="00E87860"/>
    <w:rPr>
      <w:rFonts w:ascii="Times New Roman" w:eastAsia="Times New Roman" w:hAnsi="Times New Roman" w:cs="Times New Roman"/>
      <w:bCs/>
      <w:sz w:val="28"/>
      <w:szCs w:val="28"/>
      <w:lang w:eastAsia="ru-RU"/>
    </w:rPr>
  </w:style>
  <w:style w:type="paragraph" w:styleId="2">
    <w:name w:val="Body Text 2"/>
    <w:basedOn w:val="a"/>
    <w:link w:val="20"/>
    <w:uiPriority w:val="99"/>
    <w:semiHidden/>
    <w:unhideWhenUsed/>
    <w:rsid w:val="00E8786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semiHidden/>
    <w:rsid w:val="00E8786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8786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semiHidden/>
    <w:rsid w:val="00E87860"/>
    <w:rPr>
      <w:rFonts w:ascii="Times New Roman" w:eastAsia="Times New Roman" w:hAnsi="Times New Roman" w:cs="Times New Roman"/>
      <w:sz w:val="16"/>
      <w:szCs w:val="16"/>
      <w:lang w:eastAsia="ru-RU"/>
    </w:rPr>
  </w:style>
  <w:style w:type="paragraph" w:customStyle="1" w:styleId="ConsPlusNormal">
    <w:name w:val="ConsPlusNormal"/>
    <w:uiPriority w:val="99"/>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78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878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annotation text"/>
    <w:basedOn w:val="a"/>
    <w:link w:val="af7"/>
    <w:uiPriority w:val="99"/>
    <w:rsid w:val="00E87860"/>
    <w:pPr>
      <w:spacing w:line="240"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rsid w:val="00E87860"/>
    <w:rPr>
      <w:rFonts w:ascii="Calibri" w:eastAsia="Calibri" w:hAnsi="Calibri" w:cs="Times New Roman"/>
      <w:sz w:val="20"/>
      <w:szCs w:val="20"/>
    </w:rPr>
  </w:style>
  <w:style w:type="paragraph" w:styleId="af8">
    <w:name w:val="header"/>
    <w:basedOn w:val="a"/>
    <w:link w:val="af9"/>
    <w:uiPriority w:val="99"/>
    <w:unhideWhenUsed/>
    <w:rsid w:val="00E30FE8"/>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30FE8"/>
  </w:style>
  <w:style w:type="paragraph" w:styleId="afa">
    <w:name w:val="footer"/>
    <w:basedOn w:val="a"/>
    <w:link w:val="afb"/>
    <w:uiPriority w:val="99"/>
    <w:unhideWhenUsed/>
    <w:rsid w:val="00E30FE8"/>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30FE8"/>
  </w:style>
  <w:style w:type="character" w:styleId="afc">
    <w:name w:val="Hyperlink"/>
    <w:basedOn w:val="a1"/>
    <w:uiPriority w:val="99"/>
    <w:semiHidden/>
    <w:unhideWhenUsed/>
    <w:rsid w:val="00BF3D3F"/>
    <w:rPr>
      <w:color w:val="0000FF"/>
      <w:u w:val="single"/>
    </w:rPr>
  </w:style>
  <w:style w:type="character" w:customStyle="1" w:styleId="apple-converted-space">
    <w:name w:val="apple-converted-space"/>
    <w:basedOn w:val="a1"/>
    <w:rsid w:val="0001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wNT_l7V6kO8"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pensionobserver.ru/brifingi/video"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uchkova\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4242424242424229E-2"/>
          <c:y val="3.7800687285223449E-2"/>
          <c:w val="0.95606202068835922"/>
          <c:h val="0.69759684277290956"/>
        </c:manualLayout>
      </c:layout>
      <c:barChart>
        <c:barDir val="col"/>
        <c:grouping val="clustered"/>
        <c:varyColors val="0"/>
        <c:ser>
          <c:idx val="1"/>
          <c:order val="0"/>
          <c:tx>
            <c:v>количество застрахованных лиц (человек)</c:v>
          </c:tx>
          <c:invertIfNegative val="0"/>
          <c:dLbls>
            <c:dLbl>
              <c:idx val="1"/>
              <c:layout>
                <c:manualLayout>
                  <c:x val="-2.7681964379019718E-2"/>
                  <c:y val="-5.5702475268429398E-2"/>
                </c:manualLayout>
              </c:layout>
              <c:showLegendKey val="0"/>
              <c:showVal val="1"/>
              <c:showCatName val="0"/>
              <c:showSerName val="0"/>
              <c:showPercent val="0"/>
              <c:showBubbleSize val="0"/>
            </c:dLbl>
            <c:dLbl>
              <c:idx val="2"/>
              <c:layout>
                <c:manualLayout>
                  <c:x val="-5.2577742050831933E-3"/>
                  <c:y val="-3.4121597080377042E-2"/>
                </c:manualLayout>
              </c:layout>
              <c:showLegendKey val="0"/>
              <c:showVal val="1"/>
              <c:showCatName val="0"/>
              <c:showSerName val="0"/>
              <c:showPercent val="0"/>
              <c:showBubbleSize val="0"/>
            </c:dLbl>
            <c:dLbl>
              <c:idx val="3"/>
              <c:layout>
                <c:manualLayout>
                  <c:x val="-7.0758929529095961E-3"/>
                  <c:y val="-2.5874271956255714E-2"/>
                </c:manualLayout>
              </c:layout>
              <c:showLegendKey val="0"/>
              <c:showVal val="1"/>
              <c:showCatName val="0"/>
              <c:showSerName val="0"/>
              <c:showPercent val="0"/>
              <c:showBubbleSize val="0"/>
            </c:dLbl>
            <c:dLbl>
              <c:idx val="4"/>
              <c:layout>
                <c:manualLayout>
                  <c:x val="-8.8940117007360944E-3"/>
                  <c:y val="-2.78932024950953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Лист1!$A$21:$F$21</c:f>
              <c:strCache>
                <c:ptCount val="6"/>
                <c:pt idx="0">
                  <c:v>2008</c:v>
                </c:pt>
                <c:pt idx="1">
                  <c:v>2009</c:v>
                </c:pt>
                <c:pt idx="2">
                  <c:v>2010</c:v>
                </c:pt>
                <c:pt idx="3">
                  <c:v>2011</c:v>
                </c:pt>
                <c:pt idx="4">
                  <c:v>2012</c:v>
                </c:pt>
                <c:pt idx="5">
                  <c:v>1 полугодие 2013</c:v>
                </c:pt>
              </c:strCache>
            </c:strRef>
          </c:cat>
          <c:val>
            <c:numRef>
              <c:f>Лист1!$A$22:$F$22</c:f>
              <c:numCache>
                <c:formatCode>#,##0</c:formatCode>
                <c:ptCount val="6"/>
                <c:pt idx="0">
                  <c:v>3639289</c:v>
                </c:pt>
                <c:pt idx="1">
                  <c:v>5680170</c:v>
                </c:pt>
                <c:pt idx="2">
                  <c:v>7822611</c:v>
                </c:pt>
                <c:pt idx="3">
                  <c:v>11875993</c:v>
                </c:pt>
                <c:pt idx="4">
                  <c:v>16570105</c:v>
                </c:pt>
                <c:pt idx="5">
                  <c:v>20302263</c:v>
                </c:pt>
              </c:numCache>
            </c:numRef>
          </c:val>
        </c:ser>
        <c:dLbls>
          <c:showLegendKey val="0"/>
          <c:showVal val="1"/>
          <c:showCatName val="0"/>
          <c:showSerName val="0"/>
          <c:showPercent val="0"/>
          <c:showBubbleSize val="0"/>
        </c:dLbls>
        <c:gapWidth val="150"/>
        <c:axId val="251433344"/>
        <c:axId val="251436032"/>
      </c:barChart>
      <c:catAx>
        <c:axId val="251433344"/>
        <c:scaling>
          <c:orientation val="minMax"/>
        </c:scaling>
        <c:delete val="0"/>
        <c:axPos val="b"/>
        <c:numFmt formatCode="0" sourceLinked="1"/>
        <c:majorTickMark val="out"/>
        <c:minorTickMark val="none"/>
        <c:tickLblPos val="nextTo"/>
        <c:txPr>
          <a:bodyPr rot="0" vert="horz"/>
          <a:lstStyle/>
          <a:p>
            <a:pPr>
              <a:defRPr/>
            </a:pPr>
            <a:endParaRPr lang="ru-RU"/>
          </a:p>
        </c:txPr>
        <c:crossAx val="251436032"/>
        <c:crosses val="autoZero"/>
        <c:auto val="1"/>
        <c:lblAlgn val="ctr"/>
        <c:lblOffset val="100"/>
        <c:tickLblSkip val="1"/>
        <c:tickMarkSkip val="1"/>
        <c:noMultiLvlLbl val="0"/>
      </c:catAx>
      <c:valAx>
        <c:axId val="251436032"/>
        <c:scaling>
          <c:orientation val="minMax"/>
        </c:scaling>
        <c:delete val="1"/>
        <c:axPos val="l"/>
        <c:majorGridlines/>
        <c:numFmt formatCode="#,##0" sourceLinked="1"/>
        <c:majorTickMark val="out"/>
        <c:minorTickMark val="none"/>
        <c:tickLblPos val="none"/>
        <c:crossAx val="251433344"/>
        <c:crosses val="autoZero"/>
        <c:crossBetween val="between"/>
      </c:valAx>
    </c:plotArea>
    <c:legend>
      <c:legendPos val="b"/>
      <c:layout>
        <c:manualLayout>
          <c:xMode val="edge"/>
          <c:yMode val="edge"/>
          <c:x val="0.3039271412659324"/>
          <c:y val="0.88889177512604767"/>
          <c:w val="0.44754055522795372"/>
          <c:h val="8.285412777011122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16246</Words>
  <Characters>92607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2</cp:revision>
  <dcterms:created xsi:type="dcterms:W3CDTF">2014-01-16T08:33:00Z</dcterms:created>
  <dcterms:modified xsi:type="dcterms:W3CDTF">2014-01-16T08:33:00Z</dcterms:modified>
</cp:coreProperties>
</file>