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981" w:rsidRDefault="00241981">
      <w:pPr>
        <w:rPr>
          <w:noProof/>
          <w:lang w:eastAsia="ru-RU"/>
        </w:rPr>
      </w:pPr>
    </w:p>
    <w:p w:rsidR="00C3695D" w:rsidRDefault="00241981">
      <w:r>
        <w:rPr>
          <w:noProof/>
          <w:lang w:eastAsia="ru-RU"/>
        </w:rPr>
        <w:drawing>
          <wp:inline distT="0" distB="0" distL="0" distR="0">
            <wp:extent cx="6033851" cy="6076950"/>
            <wp:effectExtent l="0" t="0" r="5080" b="0"/>
            <wp:docPr id="1" name="Рисунок 1" descr="C:\Users\AKomarov\Desktop\Журнал новый номер\Номер 24(4)\cover(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4(4)\cover(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3851" cy="6076950"/>
                    </a:xfrm>
                    <a:prstGeom prst="rect">
                      <a:avLst/>
                    </a:prstGeom>
                    <a:noFill/>
                    <a:ln>
                      <a:noFill/>
                    </a:ln>
                  </pic:spPr>
                </pic:pic>
              </a:graphicData>
            </a:graphic>
          </wp:inline>
        </w:drawing>
      </w:r>
    </w:p>
    <w:p w:rsidR="00241981" w:rsidRDefault="00241981"/>
    <w:p w:rsidR="00241981" w:rsidRDefault="00241981"/>
    <w:p w:rsidR="00241981" w:rsidRDefault="00241981"/>
    <w:p w:rsidR="00241981" w:rsidRDefault="00241981"/>
    <w:p w:rsidR="00241981" w:rsidRDefault="00241981"/>
    <w:p w:rsidR="00241981" w:rsidRDefault="00241981"/>
    <w:p w:rsidR="00241981" w:rsidRDefault="00241981"/>
    <w:p w:rsidR="000A7EB9" w:rsidRDefault="000A7EB9"/>
    <w:p w:rsidR="00241981" w:rsidRDefault="00241981"/>
    <w:p w:rsidR="00241981" w:rsidRPr="00411DEC" w:rsidRDefault="00241981" w:rsidP="000A7EB9">
      <w:pPr>
        <w:spacing w:after="0" w:line="360" w:lineRule="auto"/>
        <w:ind w:firstLine="709"/>
        <w:jc w:val="center"/>
        <w:rPr>
          <w:rFonts w:ascii="Times New Roman" w:hAnsi="Times New Roman" w:cs="Times New Roman"/>
          <w:b/>
          <w:color w:val="FF0000"/>
          <w:sz w:val="32"/>
          <w:szCs w:val="24"/>
          <w:u w:val="single"/>
        </w:rPr>
      </w:pPr>
      <w:r w:rsidRPr="00411DEC">
        <w:rPr>
          <w:rFonts w:ascii="Times New Roman" w:hAnsi="Times New Roman" w:cs="Times New Roman"/>
          <w:b/>
          <w:color w:val="FF0000"/>
          <w:sz w:val="32"/>
          <w:szCs w:val="24"/>
          <w:u w:val="single"/>
        </w:rPr>
        <w:lastRenderedPageBreak/>
        <w:t>Колонка главного редактора</w:t>
      </w:r>
    </w:p>
    <w:p w:rsidR="00241981" w:rsidRPr="00411DEC" w:rsidRDefault="00241981" w:rsidP="000A7EB9">
      <w:pPr>
        <w:spacing w:after="0" w:line="360" w:lineRule="auto"/>
        <w:ind w:firstLine="709"/>
        <w:jc w:val="center"/>
        <w:rPr>
          <w:rFonts w:ascii="Times New Roman" w:hAnsi="Times New Roman" w:cs="Times New Roman"/>
          <w:color w:val="FF0000"/>
          <w:sz w:val="27"/>
          <w:szCs w:val="27"/>
        </w:rPr>
      </w:pPr>
    </w:p>
    <w:p w:rsidR="00241981" w:rsidRPr="00411DEC" w:rsidRDefault="00241981" w:rsidP="00241981">
      <w:pPr>
        <w:spacing w:after="0" w:line="360" w:lineRule="auto"/>
        <w:ind w:firstLine="709"/>
        <w:jc w:val="both"/>
        <w:rPr>
          <w:rFonts w:ascii="Times New Roman" w:hAnsi="Times New Roman" w:cs="Times New Roman"/>
          <w:sz w:val="27"/>
          <w:szCs w:val="27"/>
        </w:rPr>
      </w:pPr>
      <w:r w:rsidRPr="00411DEC">
        <w:rPr>
          <w:rFonts w:ascii="Times New Roman" w:hAnsi="Times New Roman" w:cs="Times New Roman"/>
          <w:sz w:val="27"/>
          <w:szCs w:val="27"/>
        </w:rPr>
        <w:t xml:space="preserve">Воспитанию </w:t>
      </w:r>
      <w:proofErr w:type="gramStart"/>
      <w:r w:rsidRPr="00411DEC">
        <w:rPr>
          <w:rFonts w:ascii="Times New Roman" w:hAnsi="Times New Roman" w:cs="Times New Roman"/>
          <w:sz w:val="27"/>
          <w:szCs w:val="27"/>
        </w:rPr>
        <w:t>финансового</w:t>
      </w:r>
      <w:proofErr w:type="gramEnd"/>
      <w:r w:rsidRPr="00411DEC">
        <w:rPr>
          <w:rFonts w:ascii="Times New Roman" w:hAnsi="Times New Roman" w:cs="Times New Roman"/>
          <w:sz w:val="27"/>
          <w:szCs w:val="27"/>
        </w:rPr>
        <w:t xml:space="preserve"> грамотных граждан в мире уделяют большое внимание.</w:t>
      </w:r>
    </w:p>
    <w:p w:rsidR="00241981" w:rsidRPr="00411DEC" w:rsidRDefault="00241981" w:rsidP="00241981">
      <w:pPr>
        <w:spacing w:after="0" w:line="360" w:lineRule="auto"/>
        <w:ind w:firstLine="709"/>
        <w:jc w:val="both"/>
        <w:rPr>
          <w:rFonts w:ascii="Times New Roman" w:hAnsi="Times New Roman" w:cs="Times New Roman"/>
          <w:sz w:val="27"/>
          <w:szCs w:val="27"/>
        </w:rPr>
      </w:pPr>
      <w:r w:rsidRPr="00411DEC">
        <w:rPr>
          <w:rFonts w:ascii="Times New Roman" w:hAnsi="Times New Roman" w:cs="Times New Roman"/>
          <w:sz w:val="27"/>
          <w:szCs w:val="27"/>
        </w:rPr>
        <w:t xml:space="preserve">Азам </w:t>
      </w:r>
      <w:proofErr w:type="spellStart"/>
      <w:r w:rsidRPr="00411DEC">
        <w:rPr>
          <w:rFonts w:ascii="Times New Roman" w:hAnsi="Times New Roman" w:cs="Times New Roman"/>
          <w:sz w:val="27"/>
          <w:szCs w:val="27"/>
        </w:rPr>
        <w:t>финграмоты</w:t>
      </w:r>
      <w:proofErr w:type="spellEnd"/>
      <w:r w:rsidRPr="00411DEC">
        <w:rPr>
          <w:rFonts w:ascii="Times New Roman" w:hAnsi="Times New Roman" w:cs="Times New Roman"/>
          <w:sz w:val="27"/>
          <w:szCs w:val="27"/>
        </w:rPr>
        <w:t xml:space="preserve"> в Европе начинают учить в детских садах. В школе это обязательный предмет. Дети должны уметь легко управляться с банковской картой, открывать и закрывать счета, грамотно их контролировать, то есть принимать продуманные решения. Самым маленьким рассказывают сказки, мораль которых – снял денежки, положи обратно и продолжай копить не в копилке-хрюшке, а в финансовом учреждении. Не можешь восполнить расходы – не трать. </w:t>
      </w:r>
    </w:p>
    <w:p w:rsidR="00241981" w:rsidRPr="00411DEC" w:rsidRDefault="00241981" w:rsidP="00241981">
      <w:pPr>
        <w:spacing w:after="0" w:line="360" w:lineRule="auto"/>
        <w:ind w:firstLine="709"/>
        <w:jc w:val="both"/>
        <w:rPr>
          <w:rFonts w:ascii="Times New Roman" w:hAnsi="Times New Roman" w:cs="Times New Roman"/>
          <w:sz w:val="27"/>
          <w:szCs w:val="27"/>
        </w:rPr>
      </w:pPr>
      <w:r w:rsidRPr="00411DEC">
        <w:rPr>
          <w:rFonts w:ascii="Times New Roman" w:hAnsi="Times New Roman" w:cs="Times New Roman"/>
          <w:sz w:val="27"/>
          <w:szCs w:val="27"/>
        </w:rPr>
        <w:t xml:space="preserve">У нас </w:t>
      </w:r>
      <w:proofErr w:type="gramStart"/>
      <w:r w:rsidRPr="00411DEC">
        <w:rPr>
          <w:rFonts w:ascii="Times New Roman" w:hAnsi="Times New Roman" w:cs="Times New Roman"/>
          <w:sz w:val="27"/>
          <w:szCs w:val="27"/>
        </w:rPr>
        <w:t>сказки про нецелесообразность</w:t>
      </w:r>
      <w:proofErr w:type="gramEnd"/>
      <w:r w:rsidRPr="00411DEC">
        <w:rPr>
          <w:rFonts w:ascii="Times New Roman" w:hAnsi="Times New Roman" w:cs="Times New Roman"/>
          <w:sz w:val="27"/>
          <w:szCs w:val="27"/>
        </w:rPr>
        <w:t xml:space="preserve"> и неэффективность пенсионных накоплений несколько чиновников рассказывают двум десяткам миллионов россиян, подавляющее большинство которых осознало необходимость накапливать средства на будущую пенсию. </w:t>
      </w:r>
    </w:p>
    <w:p w:rsidR="00241981" w:rsidRPr="00411DEC" w:rsidRDefault="00241981" w:rsidP="00241981">
      <w:pPr>
        <w:spacing w:after="0" w:line="360" w:lineRule="auto"/>
        <w:ind w:firstLine="709"/>
        <w:jc w:val="both"/>
        <w:rPr>
          <w:rFonts w:ascii="Times New Roman" w:hAnsi="Times New Roman" w:cs="Times New Roman"/>
          <w:sz w:val="27"/>
          <w:szCs w:val="27"/>
        </w:rPr>
      </w:pPr>
      <w:r w:rsidRPr="00411DEC">
        <w:rPr>
          <w:rFonts w:ascii="Times New Roman" w:hAnsi="Times New Roman" w:cs="Times New Roman"/>
          <w:sz w:val="27"/>
          <w:szCs w:val="27"/>
        </w:rPr>
        <w:t>Управлять этими деньгами в условиях непрерывно меняющихся правил игры, девальвации рубля, экономического кризиса непросто.</w:t>
      </w:r>
    </w:p>
    <w:p w:rsidR="00241981" w:rsidRPr="00411DEC" w:rsidRDefault="00241981" w:rsidP="00241981">
      <w:pPr>
        <w:spacing w:after="0" w:line="360" w:lineRule="auto"/>
        <w:ind w:firstLine="709"/>
        <w:jc w:val="both"/>
        <w:rPr>
          <w:rFonts w:ascii="Times New Roman" w:hAnsi="Times New Roman" w:cs="Times New Roman"/>
          <w:sz w:val="27"/>
          <w:szCs w:val="27"/>
        </w:rPr>
      </w:pPr>
      <w:r w:rsidRPr="00411DEC">
        <w:rPr>
          <w:rFonts w:ascii="Times New Roman" w:hAnsi="Times New Roman" w:cs="Times New Roman"/>
          <w:sz w:val="27"/>
          <w:szCs w:val="27"/>
        </w:rPr>
        <w:t>О положении дел с текущим состоянием накоплений рассказывают на страницах этого номера журнала высококвалифицированные специалисты пенсионной индустрии.</w:t>
      </w:r>
    </w:p>
    <w:p w:rsidR="00241981" w:rsidRPr="00411DEC" w:rsidRDefault="00241981" w:rsidP="00241981">
      <w:pPr>
        <w:spacing w:after="0" w:line="360" w:lineRule="auto"/>
        <w:ind w:firstLine="709"/>
        <w:jc w:val="both"/>
        <w:rPr>
          <w:rFonts w:ascii="Times New Roman" w:hAnsi="Times New Roman" w:cs="Times New Roman"/>
          <w:sz w:val="27"/>
          <w:szCs w:val="27"/>
        </w:rPr>
      </w:pPr>
    </w:p>
    <w:p w:rsidR="00241981" w:rsidRPr="00411DEC" w:rsidRDefault="00241981" w:rsidP="00241981">
      <w:pPr>
        <w:spacing w:after="0" w:line="360" w:lineRule="auto"/>
        <w:ind w:firstLine="709"/>
        <w:jc w:val="right"/>
        <w:rPr>
          <w:rFonts w:ascii="Times New Roman" w:hAnsi="Times New Roman" w:cs="Times New Roman"/>
          <w:b/>
          <w:i/>
          <w:sz w:val="27"/>
          <w:szCs w:val="27"/>
        </w:rPr>
      </w:pPr>
      <w:r w:rsidRPr="00411DEC">
        <w:rPr>
          <w:rFonts w:ascii="Times New Roman" w:hAnsi="Times New Roman" w:cs="Times New Roman"/>
          <w:b/>
          <w:i/>
          <w:sz w:val="27"/>
          <w:szCs w:val="27"/>
        </w:rPr>
        <w:t>Искренне Ваш,</w:t>
      </w:r>
    </w:p>
    <w:p w:rsidR="00241981" w:rsidRPr="00411DEC" w:rsidRDefault="00241981" w:rsidP="00241981">
      <w:pPr>
        <w:spacing w:after="0" w:line="360" w:lineRule="auto"/>
        <w:ind w:firstLine="709"/>
        <w:jc w:val="right"/>
        <w:rPr>
          <w:rFonts w:ascii="Times New Roman" w:hAnsi="Times New Roman" w:cs="Times New Roman"/>
          <w:b/>
          <w:i/>
          <w:sz w:val="27"/>
          <w:szCs w:val="27"/>
        </w:rPr>
      </w:pPr>
      <w:r w:rsidRPr="00411DEC">
        <w:rPr>
          <w:rFonts w:ascii="Times New Roman" w:hAnsi="Times New Roman" w:cs="Times New Roman"/>
          <w:b/>
          <w:i/>
          <w:sz w:val="27"/>
          <w:szCs w:val="27"/>
        </w:rPr>
        <w:t>Иван Заргарян</w:t>
      </w: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Pr="000A7EB9" w:rsidRDefault="00241981" w:rsidP="00241981">
      <w:pPr>
        <w:spacing w:after="0" w:line="360" w:lineRule="auto"/>
        <w:ind w:firstLine="709"/>
        <w:jc w:val="center"/>
        <w:rPr>
          <w:rFonts w:ascii="Times New Roman" w:hAnsi="Times New Roman" w:cs="Times New Roman"/>
          <w:b/>
          <w:color w:val="FF0000"/>
          <w:sz w:val="32"/>
          <w:szCs w:val="24"/>
          <w:u w:val="single"/>
        </w:rPr>
      </w:pPr>
      <w:r w:rsidRPr="000A7EB9">
        <w:rPr>
          <w:rFonts w:ascii="Times New Roman" w:hAnsi="Times New Roman" w:cs="Times New Roman"/>
          <w:b/>
          <w:color w:val="FF0000"/>
          <w:sz w:val="32"/>
          <w:szCs w:val="24"/>
          <w:u w:val="single"/>
        </w:rPr>
        <w:lastRenderedPageBreak/>
        <w:t>Тема номера – Управление пенсионными активами в условиях кризиса</w:t>
      </w:r>
    </w:p>
    <w:p w:rsidR="00241981" w:rsidRPr="000A7EB9" w:rsidRDefault="00241981" w:rsidP="00241981">
      <w:pPr>
        <w:spacing w:after="0" w:line="360" w:lineRule="auto"/>
        <w:ind w:firstLine="709"/>
        <w:jc w:val="center"/>
        <w:rPr>
          <w:rFonts w:ascii="Times New Roman" w:hAnsi="Times New Roman" w:cs="Times New Roman"/>
          <w:b/>
          <w:color w:val="FF0000"/>
          <w:sz w:val="32"/>
          <w:szCs w:val="24"/>
        </w:rPr>
      </w:pPr>
    </w:p>
    <w:p w:rsidR="00241981" w:rsidRPr="00A07EE5" w:rsidRDefault="00241981" w:rsidP="00241981">
      <w:pPr>
        <w:spacing w:after="0" w:line="360" w:lineRule="auto"/>
        <w:ind w:firstLine="709"/>
        <w:jc w:val="center"/>
        <w:rPr>
          <w:rFonts w:ascii="Times New Roman" w:hAnsi="Times New Roman"/>
          <w:b/>
          <w:sz w:val="28"/>
          <w:szCs w:val="27"/>
        </w:rPr>
      </w:pPr>
      <w:r w:rsidRPr="00A07EE5">
        <w:rPr>
          <w:rFonts w:ascii="Times New Roman" w:hAnsi="Times New Roman"/>
          <w:b/>
          <w:sz w:val="28"/>
          <w:szCs w:val="27"/>
        </w:rPr>
        <w:t>В кризис надо инвестировать в кризис</w:t>
      </w:r>
    </w:p>
    <w:p w:rsidR="00241981" w:rsidRPr="00A07EE5" w:rsidRDefault="00241981" w:rsidP="00241981">
      <w:pPr>
        <w:spacing w:after="0" w:line="360" w:lineRule="auto"/>
        <w:ind w:firstLine="709"/>
        <w:jc w:val="both"/>
        <w:rPr>
          <w:rFonts w:ascii="Times New Roman" w:hAnsi="Times New Roman"/>
          <w:b/>
          <w:sz w:val="28"/>
          <w:szCs w:val="27"/>
        </w:rPr>
      </w:pPr>
    </w:p>
    <w:p w:rsidR="00241981" w:rsidRDefault="00241981" w:rsidP="00241981">
      <w:pPr>
        <w:jc w:val="right"/>
        <w:rPr>
          <w:sz w:val="24"/>
          <w:szCs w:val="24"/>
        </w:rPr>
      </w:pPr>
      <w:r>
        <w:rPr>
          <w:noProof/>
          <w:sz w:val="24"/>
          <w:szCs w:val="24"/>
        </w:rPr>
        <w:drawing>
          <wp:inline distT="0" distB="0" distL="0" distR="0" wp14:anchorId="44863C7E" wp14:editId="6CCB8224">
            <wp:extent cx="1047750" cy="1400175"/>
            <wp:effectExtent l="0" t="0" r="0" b="9525"/>
            <wp:docPr id="2" name="Рисунок 2" descr="lu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k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inline>
        </w:drawing>
      </w:r>
    </w:p>
    <w:p w:rsidR="00241981" w:rsidRDefault="00241981" w:rsidP="00241981">
      <w:pPr>
        <w:spacing w:line="360" w:lineRule="auto"/>
        <w:ind w:firstLine="709"/>
        <w:jc w:val="right"/>
        <w:rPr>
          <w:rFonts w:ascii="Times New Roman" w:hAnsi="Times New Roman"/>
          <w:i/>
          <w:sz w:val="24"/>
          <w:szCs w:val="24"/>
        </w:rPr>
      </w:pPr>
      <w:r>
        <w:rPr>
          <w:rFonts w:ascii="Times New Roman" w:hAnsi="Times New Roman"/>
          <w:i/>
          <w:sz w:val="24"/>
          <w:szCs w:val="24"/>
        </w:rPr>
        <w:t xml:space="preserve">Сергей Александрович Лукин, </w:t>
      </w:r>
      <w:r>
        <w:rPr>
          <w:rFonts w:ascii="Times New Roman" w:hAnsi="Times New Roman"/>
          <w:i/>
          <w:sz w:val="24"/>
          <w:szCs w:val="24"/>
        </w:rPr>
        <w:br/>
        <w:t xml:space="preserve">Заместитель Генерального Директора </w:t>
      </w:r>
      <w:r>
        <w:rPr>
          <w:rFonts w:ascii="Times New Roman" w:hAnsi="Times New Roman"/>
          <w:i/>
          <w:sz w:val="24"/>
          <w:szCs w:val="24"/>
        </w:rPr>
        <w:br/>
        <w:t>по развитию бизнес</w:t>
      </w:r>
      <w:proofErr w:type="gramStart"/>
      <w:r>
        <w:rPr>
          <w:rFonts w:ascii="Times New Roman" w:hAnsi="Times New Roman"/>
          <w:i/>
          <w:sz w:val="24"/>
          <w:szCs w:val="24"/>
        </w:rPr>
        <w:t>а АО У</w:t>
      </w:r>
      <w:proofErr w:type="gramEnd"/>
      <w:r>
        <w:rPr>
          <w:rFonts w:ascii="Times New Roman" w:hAnsi="Times New Roman"/>
          <w:i/>
          <w:sz w:val="24"/>
          <w:szCs w:val="24"/>
        </w:rPr>
        <w:t>К «Апрель Капитал»</w:t>
      </w:r>
    </w:p>
    <w:p w:rsidR="00241981" w:rsidRPr="00D950EA" w:rsidRDefault="00241981" w:rsidP="00241981">
      <w:pPr>
        <w:spacing w:after="0" w:line="360" w:lineRule="auto"/>
        <w:ind w:firstLine="709"/>
        <w:jc w:val="both"/>
        <w:rPr>
          <w:rFonts w:ascii="Times New Roman" w:hAnsi="Times New Roman"/>
          <w:b/>
          <w:sz w:val="27"/>
          <w:szCs w:val="27"/>
        </w:rPr>
      </w:pPr>
    </w:p>
    <w:p w:rsidR="00241981" w:rsidRPr="00ED3392" w:rsidRDefault="00241981" w:rsidP="00241981">
      <w:pPr>
        <w:spacing w:after="0" w:line="360" w:lineRule="auto"/>
        <w:ind w:firstLine="709"/>
        <w:jc w:val="both"/>
        <w:rPr>
          <w:rFonts w:ascii="Times New Roman" w:hAnsi="Times New Roman"/>
          <w:sz w:val="27"/>
          <w:szCs w:val="27"/>
        </w:rPr>
      </w:pP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 xml:space="preserve">Несколько  лет назад в Москву приезжал известный музыкант и исполнитель </w:t>
      </w:r>
      <w:proofErr w:type="spellStart"/>
      <w:r w:rsidRPr="00ED3392">
        <w:rPr>
          <w:rFonts w:ascii="Times New Roman" w:hAnsi="Times New Roman"/>
          <w:sz w:val="27"/>
          <w:szCs w:val="27"/>
        </w:rPr>
        <w:t>Игги</w:t>
      </w:r>
      <w:proofErr w:type="spellEnd"/>
      <w:r w:rsidRPr="00ED3392">
        <w:rPr>
          <w:rFonts w:ascii="Times New Roman" w:hAnsi="Times New Roman"/>
          <w:sz w:val="27"/>
          <w:szCs w:val="27"/>
        </w:rPr>
        <w:t xml:space="preserve"> Поп. Гигантские афиши формата в многоэтажный дом были расположены вдоль садового кольца столицы, наклейки поменьше </w:t>
      </w:r>
      <w:r w:rsidRPr="00E5321F">
        <w:rPr>
          <w:rFonts w:ascii="Times New Roman" w:hAnsi="Times New Roman"/>
          <w:sz w:val="27"/>
          <w:szCs w:val="27"/>
        </w:rPr>
        <w:t xml:space="preserve">- </w:t>
      </w:r>
      <w:r w:rsidRPr="00ED3392">
        <w:rPr>
          <w:rFonts w:ascii="Times New Roman" w:hAnsi="Times New Roman"/>
          <w:sz w:val="27"/>
          <w:szCs w:val="27"/>
        </w:rPr>
        <w:t xml:space="preserve">на примыкающих транспортных артериях и листовки на остановках общественного транспорта. Не заметить приезд великого музыканта было невозможно. В качестве слогана на рекламной продукции было вынесено правило жизни </w:t>
      </w:r>
      <w:proofErr w:type="spellStart"/>
      <w:r w:rsidRPr="00ED3392">
        <w:rPr>
          <w:rFonts w:ascii="Times New Roman" w:hAnsi="Times New Roman"/>
          <w:sz w:val="27"/>
          <w:szCs w:val="27"/>
        </w:rPr>
        <w:t>Игги</w:t>
      </w:r>
      <w:proofErr w:type="spellEnd"/>
      <w:r w:rsidRPr="00ED3392">
        <w:rPr>
          <w:rFonts w:ascii="Times New Roman" w:hAnsi="Times New Roman"/>
          <w:sz w:val="27"/>
          <w:szCs w:val="27"/>
        </w:rPr>
        <w:t>:  «У меня нет особых предпочтений. Я предпочитаю пять долларов трем долларам. Вот, пожалуй, и все»</w:t>
      </w:r>
      <w:r>
        <w:rPr>
          <w:rFonts w:ascii="Times New Roman" w:hAnsi="Times New Roman"/>
          <w:sz w:val="27"/>
          <w:szCs w:val="27"/>
        </w:rPr>
        <w:t>.</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 xml:space="preserve">Согласитесь, это простое и понятное правило подходит каждому из нас. Более того, все о нем знают, но мало кто сформулировал его столь лаконично и точно.  Задавшись целью сформировать прибавку к государственной пенсии, необходимо позаботиться об </w:t>
      </w:r>
      <w:r>
        <w:rPr>
          <w:rFonts w:ascii="Times New Roman" w:hAnsi="Times New Roman"/>
          <w:sz w:val="27"/>
          <w:szCs w:val="27"/>
        </w:rPr>
        <w:t>ее</w:t>
      </w:r>
      <w:r w:rsidRPr="00ED3392">
        <w:rPr>
          <w:rFonts w:ascii="Times New Roman" w:hAnsi="Times New Roman"/>
          <w:sz w:val="27"/>
          <w:szCs w:val="27"/>
        </w:rPr>
        <w:t xml:space="preserve"> инвестировании. Деньги должны не просто лежать на счетах, а работать согласно вышеизложенному принципу.</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Граждане, которые решили откладывать на пенсию</w:t>
      </w:r>
      <w:r>
        <w:rPr>
          <w:rFonts w:ascii="Times New Roman" w:hAnsi="Times New Roman"/>
          <w:sz w:val="27"/>
          <w:szCs w:val="27"/>
        </w:rPr>
        <w:t>,</w:t>
      </w:r>
      <w:r w:rsidRPr="00ED3392">
        <w:rPr>
          <w:rFonts w:ascii="Times New Roman" w:hAnsi="Times New Roman"/>
          <w:sz w:val="27"/>
          <w:szCs w:val="27"/>
        </w:rPr>
        <w:t xml:space="preserve"> должны обладать финансовой дисциплиной. Периодичность отчислений – залог успеха. Вспомните классический прием продавца на финансовом рынке. С указкой у доски он </w:t>
      </w:r>
      <w:r w:rsidRPr="00ED3392">
        <w:rPr>
          <w:rFonts w:ascii="Times New Roman" w:hAnsi="Times New Roman"/>
          <w:sz w:val="27"/>
          <w:szCs w:val="27"/>
        </w:rPr>
        <w:lastRenderedPageBreak/>
        <w:t xml:space="preserve">показывает на график изменения стоимости, например, доллара США: « </w:t>
      </w:r>
      <w:proofErr w:type="gramStart"/>
      <w:r w:rsidRPr="00ED3392">
        <w:rPr>
          <w:rFonts w:ascii="Times New Roman" w:hAnsi="Times New Roman"/>
          <w:sz w:val="27"/>
          <w:szCs w:val="27"/>
        </w:rPr>
        <w:t>Посмотрите сколько бы Вы заработали</w:t>
      </w:r>
      <w:proofErr w:type="gramEnd"/>
      <w:r w:rsidRPr="00ED3392">
        <w:rPr>
          <w:rFonts w:ascii="Times New Roman" w:hAnsi="Times New Roman"/>
          <w:sz w:val="27"/>
          <w:szCs w:val="27"/>
        </w:rPr>
        <w:t>, если бы купили доллар в середине прошлого года, а продали сейчас»</w:t>
      </w:r>
      <w:r>
        <w:rPr>
          <w:rFonts w:ascii="Times New Roman" w:hAnsi="Times New Roman"/>
          <w:sz w:val="27"/>
          <w:szCs w:val="27"/>
        </w:rPr>
        <w:t>.</w:t>
      </w:r>
      <w:r w:rsidRPr="00ED3392">
        <w:rPr>
          <w:rFonts w:ascii="Times New Roman" w:hAnsi="Times New Roman"/>
          <w:sz w:val="27"/>
          <w:szCs w:val="27"/>
        </w:rPr>
        <w:t xml:space="preserve">  Все прекрасно понимают, что купить дешевле и продать дороже – это основа заработка, но для  благоприятного исхода необходимо  соблюсти два условия: первое </w:t>
      </w:r>
      <w:r>
        <w:rPr>
          <w:rFonts w:ascii="Times New Roman" w:hAnsi="Times New Roman"/>
          <w:sz w:val="27"/>
          <w:szCs w:val="27"/>
        </w:rPr>
        <w:t>–</w:t>
      </w:r>
      <w:r w:rsidRPr="00ED3392">
        <w:rPr>
          <w:rFonts w:ascii="Times New Roman" w:hAnsi="Times New Roman"/>
          <w:sz w:val="27"/>
          <w:szCs w:val="27"/>
        </w:rPr>
        <w:t xml:space="preserve"> необходимо</w:t>
      </w:r>
      <w:r>
        <w:rPr>
          <w:rFonts w:ascii="Times New Roman" w:hAnsi="Times New Roman"/>
          <w:sz w:val="27"/>
          <w:szCs w:val="27"/>
        </w:rPr>
        <w:t>,</w:t>
      </w:r>
      <w:r w:rsidRPr="00ED3392">
        <w:rPr>
          <w:rFonts w:ascii="Times New Roman" w:hAnsi="Times New Roman"/>
          <w:sz w:val="27"/>
          <w:szCs w:val="27"/>
        </w:rPr>
        <w:t xml:space="preserve"> чтобы были свободные деньги, второе – точно знать, что инструмент, который покупаем, будет расти. Нет гарантий того, что </w:t>
      </w:r>
      <w:r>
        <w:rPr>
          <w:rFonts w:ascii="Times New Roman" w:hAnsi="Times New Roman"/>
          <w:sz w:val="27"/>
          <w:szCs w:val="27"/>
        </w:rPr>
        <w:t>при покупке</w:t>
      </w:r>
      <w:r w:rsidRPr="00ED3392">
        <w:rPr>
          <w:rFonts w:ascii="Times New Roman" w:hAnsi="Times New Roman"/>
          <w:sz w:val="27"/>
          <w:szCs w:val="27"/>
        </w:rPr>
        <w:t xml:space="preserve"> неки</w:t>
      </w:r>
      <w:r>
        <w:rPr>
          <w:rFonts w:ascii="Times New Roman" w:hAnsi="Times New Roman"/>
          <w:sz w:val="27"/>
          <w:szCs w:val="27"/>
        </w:rPr>
        <w:t>х финансовых</w:t>
      </w:r>
      <w:r w:rsidRPr="00ED3392">
        <w:rPr>
          <w:rFonts w:ascii="Times New Roman" w:hAnsi="Times New Roman"/>
          <w:sz w:val="27"/>
          <w:szCs w:val="27"/>
        </w:rPr>
        <w:t xml:space="preserve"> инструмент</w:t>
      </w:r>
      <w:r>
        <w:rPr>
          <w:rFonts w:ascii="Times New Roman" w:hAnsi="Times New Roman"/>
          <w:sz w:val="27"/>
          <w:szCs w:val="27"/>
        </w:rPr>
        <w:t>ов</w:t>
      </w:r>
      <w:r w:rsidRPr="00ED3392">
        <w:rPr>
          <w:rFonts w:ascii="Times New Roman" w:hAnsi="Times New Roman"/>
          <w:sz w:val="27"/>
          <w:szCs w:val="27"/>
        </w:rPr>
        <w:t xml:space="preserve"> результат инвестирования не будет отрицательным. Примеров такой ситуации достаточно, но накопительный страховой продукт или пенсионный продукт предусматривают планомерное периодическое  «откладывание на пенсию». Ежемесячно</w:t>
      </w:r>
      <w:r>
        <w:rPr>
          <w:rFonts w:ascii="Times New Roman" w:hAnsi="Times New Roman"/>
          <w:sz w:val="27"/>
          <w:szCs w:val="27"/>
        </w:rPr>
        <w:t>,</w:t>
      </w:r>
      <w:r w:rsidRPr="00ED3392">
        <w:rPr>
          <w:rFonts w:ascii="Times New Roman" w:hAnsi="Times New Roman"/>
          <w:sz w:val="27"/>
          <w:szCs w:val="27"/>
        </w:rPr>
        <w:t xml:space="preserve"> ежеквартально или ежегодно – на периоде в 20-30 лет не важно. На длительном горизонте будут как рост, так и спад. Покупая финансовые инструменты в разное время,  мы сглаживаем  общий результат.  Кризисный период характерен высокой изменчивостью цен финансовых инструментов</w:t>
      </w:r>
      <w:r>
        <w:rPr>
          <w:rFonts w:ascii="Times New Roman" w:hAnsi="Times New Roman"/>
          <w:sz w:val="27"/>
          <w:szCs w:val="27"/>
        </w:rPr>
        <w:t>,</w:t>
      </w:r>
      <w:r w:rsidRPr="00ED3392">
        <w:rPr>
          <w:rFonts w:ascii="Times New Roman" w:hAnsi="Times New Roman"/>
          <w:sz w:val="27"/>
          <w:szCs w:val="27"/>
        </w:rPr>
        <w:t xml:space="preserve"> и возможность инвестировать в подешевевшие финансовые инструменты как раз и позволит заработать  пять долларов вместо трех в обозримом будущем.</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Следует начать с простого и понятного. Посмотрите на проценты, под которые банки готовы привлекать денежные средства клиентов. В кризисной ситуации стоимость денег увеличивается</w:t>
      </w:r>
      <w:r>
        <w:rPr>
          <w:rFonts w:ascii="Times New Roman" w:hAnsi="Times New Roman"/>
          <w:sz w:val="27"/>
          <w:szCs w:val="27"/>
        </w:rPr>
        <w:t>,</w:t>
      </w:r>
      <w:r w:rsidRPr="00ED3392">
        <w:rPr>
          <w:rFonts w:ascii="Times New Roman" w:hAnsi="Times New Roman"/>
          <w:sz w:val="27"/>
          <w:szCs w:val="27"/>
        </w:rPr>
        <w:t xml:space="preserve"> и есть прекрасная возможность пристроить будущую пенсию на депозит под высокие ставки. Двузначная доходность от </w:t>
      </w:r>
      <w:proofErr w:type="spellStart"/>
      <w:r w:rsidRPr="00ED3392">
        <w:rPr>
          <w:rFonts w:ascii="Times New Roman" w:hAnsi="Times New Roman"/>
          <w:sz w:val="27"/>
          <w:szCs w:val="27"/>
        </w:rPr>
        <w:t>квазигосударственного</w:t>
      </w:r>
      <w:proofErr w:type="spellEnd"/>
      <w:r w:rsidRPr="00ED3392">
        <w:rPr>
          <w:rFonts w:ascii="Times New Roman" w:hAnsi="Times New Roman"/>
          <w:sz w:val="27"/>
          <w:szCs w:val="27"/>
        </w:rPr>
        <w:t xml:space="preserve"> банка с высоким рейтингом также позволит увеличить общую доходность инвестиционного портфеля, практически не изменяя уровень риска.   Для собственного развлечения можно проанализировать  структуру ставок в зависимости от срока размещения.  Собрав статистику</w:t>
      </w:r>
      <w:r>
        <w:rPr>
          <w:rFonts w:ascii="Times New Roman" w:hAnsi="Times New Roman"/>
          <w:sz w:val="27"/>
          <w:szCs w:val="27"/>
        </w:rPr>
        <w:t>,</w:t>
      </w:r>
      <w:r w:rsidRPr="00ED3392">
        <w:rPr>
          <w:rFonts w:ascii="Times New Roman" w:hAnsi="Times New Roman"/>
          <w:sz w:val="27"/>
          <w:szCs w:val="27"/>
        </w:rPr>
        <w:t xml:space="preserve"> можно примерно оценить</w:t>
      </w:r>
      <w:r>
        <w:rPr>
          <w:rFonts w:ascii="Times New Roman" w:hAnsi="Times New Roman"/>
          <w:sz w:val="27"/>
          <w:szCs w:val="27"/>
        </w:rPr>
        <w:t>,</w:t>
      </w:r>
      <w:r w:rsidRPr="00ED3392">
        <w:rPr>
          <w:rFonts w:ascii="Times New Roman" w:hAnsi="Times New Roman"/>
          <w:sz w:val="27"/>
          <w:szCs w:val="27"/>
        </w:rPr>
        <w:t xml:space="preserve"> как аналитики  оценивают долгосрочность и глубину кризисных явлений в экономике, а также прикинуть насколько хорошо чувствует себя тот или иной банк.  В среднем структура процентных ставок в кризис представляет собой график с горбинкой на коротком  сроке размещения. Хотя мы всегда говорим о длительном характере пенсионных денег, в этом случае придется использовать временной парадокс и «поиграть»  с короткими депозитами.  Для успешного размещения на депозиты также необходимо соблюсти два условия: первое </w:t>
      </w:r>
      <w:r>
        <w:rPr>
          <w:rFonts w:ascii="Times New Roman" w:hAnsi="Times New Roman"/>
          <w:sz w:val="27"/>
          <w:szCs w:val="27"/>
        </w:rPr>
        <w:t>–</w:t>
      </w:r>
      <w:r w:rsidRPr="00ED3392">
        <w:rPr>
          <w:rFonts w:ascii="Times New Roman" w:hAnsi="Times New Roman"/>
          <w:sz w:val="27"/>
          <w:szCs w:val="27"/>
        </w:rPr>
        <w:t xml:space="preserve"> необходимо</w:t>
      </w:r>
      <w:r>
        <w:rPr>
          <w:rFonts w:ascii="Times New Roman" w:hAnsi="Times New Roman"/>
          <w:sz w:val="27"/>
          <w:szCs w:val="27"/>
        </w:rPr>
        <w:t>,</w:t>
      </w:r>
      <w:r w:rsidRPr="00ED3392">
        <w:rPr>
          <w:rFonts w:ascii="Times New Roman" w:hAnsi="Times New Roman"/>
          <w:sz w:val="27"/>
          <w:szCs w:val="27"/>
        </w:rPr>
        <w:t xml:space="preserve"> чтобы были свободные деньги, второе – точно знать, что у банка не отнимут лицензию.  </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lastRenderedPageBreak/>
        <w:t xml:space="preserve">Как и окружающий нас мир, мир финансов подчиняется закону сохранения массы  и энергии. Собственно говоря, деньги никуда не исчезают. Вспоминаю английский анекдот на эту тему, в котором  некий лорд разговаривает со своим управляющим: «— Действительно все мои деньги пропали? — Нет, </w:t>
      </w:r>
      <w:proofErr w:type="gramStart"/>
      <w:r w:rsidRPr="00ED3392">
        <w:rPr>
          <w:rFonts w:ascii="Times New Roman" w:hAnsi="Times New Roman"/>
          <w:sz w:val="27"/>
          <w:szCs w:val="27"/>
        </w:rPr>
        <w:t>конечно</w:t>
      </w:r>
      <w:proofErr w:type="gramEnd"/>
      <w:r w:rsidRPr="00ED3392">
        <w:rPr>
          <w:rFonts w:ascii="Times New Roman" w:hAnsi="Times New Roman"/>
          <w:sz w:val="27"/>
          <w:szCs w:val="27"/>
        </w:rPr>
        <w:t xml:space="preserve"> нет. Они просто принадлежат теперь другому человеку!» В кризис есть те, кто теряет</w:t>
      </w:r>
      <w:r>
        <w:rPr>
          <w:rFonts w:ascii="Times New Roman" w:hAnsi="Times New Roman"/>
          <w:sz w:val="27"/>
          <w:szCs w:val="27"/>
        </w:rPr>
        <w:t>,</w:t>
      </w:r>
      <w:r w:rsidRPr="00ED3392">
        <w:rPr>
          <w:rFonts w:ascii="Times New Roman" w:hAnsi="Times New Roman"/>
          <w:sz w:val="27"/>
          <w:szCs w:val="27"/>
        </w:rPr>
        <w:t xml:space="preserve"> и те, кто зарабатывает. Строго говоря, и те и другие есть всегда, просто в кризис это видно более отчетливо. На девальвации также можно заработать</w:t>
      </w:r>
      <w:r>
        <w:rPr>
          <w:rFonts w:ascii="Times New Roman" w:hAnsi="Times New Roman"/>
          <w:sz w:val="27"/>
          <w:szCs w:val="27"/>
        </w:rPr>
        <w:t xml:space="preserve">. </w:t>
      </w:r>
      <w:r w:rsidRPr="00ED3392">
        <w:rPr>
          <w:rFonts w:ascii="Times New Roman" w:hAnsi="Times New Roman"/>
          <w:sz w:val="27"/>
          <w:szCs w:val="27"/>
        </w:rPr>
        <w:t xml:space="preserve">В нашей стране, главным образом,  это делают экспортеры. Получая за свою продукцию меньше в валюте </w:t>
      </w:r>
      <w:r>
        <w:rPr>
          <w:rFonts w:ascii="Times New Roman" w:hAnsi="Times New Roman"/>
          <w:sz w:val="27"/>
          <w:szCs w:val="27"/>
        </w:rPr>
        <w:t>в</w:t>
      </w:r>
      <w:r w:rsidRPr="00ED3392">
        <w:rPr>
          <w:rFonts w:ascii="Times New Roman" w:hAnsi="Times New Roman"/>
          <w:sz w:val="27"/>
          <w:szCs w:val="27"/>
        </w:rPr>
        <w:t xml:space="preserve">  рублях</w:t>
      </w:r>
      <w:r>
        <w:rPr>
          <w:rFonts w:ascii="Times New Roman" w:hAnsi="Times New Roman"/>
          <w:sz w:val="27"/>
          <w:szCs w:val="27"/>
        </w:rPr>
        <w:t>,</w:t>
      </w:r>
      <w:r w:rsidRPr="00ED3392">
        <w:rPr>
          <w:rFonts w:ascii="Times New Roman" w:hAnsi="Times New Roman"/>
          <w:sz w:val="27"/>
          <w:szCs w:val="27"/>
        </w:rPr>
        <w:t xml:space="preserve"> они получают не меньше, а то и больше. Подобные инвестиции можно отнести к категории </w:t>
      </w:r>
      <w:proofErr w:type="gramStart"/>
      <w:r w:rsidRPr="00ED3392">
        <w:rPr>
          <w:rFonts w:ascii="Times New Roman" w:hAnsi="Times New Roman"/>
          <w:sz w:val="27"/>
          <w:szCs w:val="27"/>
        </w:rPr>
        <w:t>защитных</w:t>
      </w:r>
      <w:proofErr w:type="gramEnd"/>
      <w:r w:rsidRPr="00ED3392">
        <w:rPr>
          <w:rFonts w:ascii="Times New Roman" w:hAnsi="Times New Roman"/>
          <w:sz w:val="27"/>
          <w:szCs w:val="27"/>
        </w:rPr>
        <w:t>. На экспорт мы поставляем сырье. Компании сырьевого сектора являются основными бенефициарами  в условиях девальвации национальной валюты.  Совсем не лишне увеличить долю финансовых инструментов таких компаний в инвестиционном портфеле.  Чтобы это сделать</w:t>
      </w:r>
      <w:r>
        <w:rPr>
          <w:rFonts w:ascii="Times New Roman" w:hAnsi="Times New Roman"/>
          <w:sz w:val="27"/>
          <w:szCs w:val="27"/>
        </w:rPr>
        <w:t>,</w:t>
      </w:r>
      <w:r w:rsidRPr="00ED3392">
        <w:rPr>
          <w:rFonts w:ascii="Times New Roman" w:hAnsi="Times New Roman"/>
          <w:sz w:val="27"/>
          <w:szCs w:val="27"/>
        </w:rPr>
        <w:t xml:space="preserve"> нужно соблюсти два условия: первое - необходимо чтобы были свободные деньги, второе –  точно знать, что компания не попадет под какие-нибудь санкции.</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 xml:space="preserve">Со школьной скамьи известно, что спрос и предложение формируют цену. Чем больше спрос, тем выше цена. Если же спрос невелик, то и цена изменяется соответствующим образом. Продавцы снижают цены, а что может быть лучше для покупки, чем подешевевший актив. В качестве иллюстрации можно привести распродажи в магазинах. Обычно в предновогодние распродажи мы покупаем рубашку, а не бежим на рынок, чтобы там за бесценок её продать. </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 xml:space="preserve">В кризис спрос упал, в  первую очередь,  на дорогостоящие объекты не первой необходимости:  квартиры, коттеджи, офисы.  Как мы отметили ранее, стоимость заемных денег в кризис возрастает, а  на российском рынке на долю ипотечных покупателей, например, приходится до половины всех сделок на рынке.  Для будущей пенсии подобного рода инвестиции вполне подходят. Деньги на выплаты потребуются не в ближайшую пятницу, а до момента выхода на пенсию можно подождать без ущерба собственному карману. В конечном итоге, настроение «попридержать деньги до лучших времен» сменится на желание приобрести,  упадут ставки по ипотеке, оживет </w:t>
      </w:r>
      <w:proofErr w:type="gramStart"/>
      <w:r w:rsidRPr="00ED3392">
        <w:rPr>
          <w:rFonts w:ascii="Times New Roman" w:hAnsi="Times New Roman"/>
          <w:sz w:val="27"/>
          <w:szCs w:val="27"/>
        </w:rPr>
        <w:t>спрос</w:t>
      </w:r>
      <w:proofErr w:type="gramEnd"/>
      <w:r w:rsidRPr="00ED3392">
        <w:rPr>
          <w:rFonts w:ascii="Times New Roman" w:hAnsi="Times New Roman"/>
          <w:sz w:val="27"/>
          <w:szCs w:val="27"/>
        </w:rPr>
        <w:t xml:space="preserve">  и объекты нед</w:t>
      </w:r>
      <w:r>
        <w:rPr>
          <w:rFonts w:ascii="Times New Roman" w:hAnsi="Times New Roman"/>
          <w:sz w:val="27"/>
          <w:szCs w:val="27"/>
        </w:rPr>
        <w:t>вижимости вырастут в цене. В тот</w:t>
      </w:r>
      <w:r w:rsidRPr="00ED3392">
        <w:rPr>
          <w:rFonts w:ascii="Times New Roman" w:hAnsi="Times New Roman"/>
          <w:sz w:val="27"/>
          <w:szCs w:val="27"/>
        </w:rPr>
        <w:t xml:space="preserve"> момент мы будем рады предложить наши объекты на продажу или сможем сдавать </w:t>
      </w:r>
      <w:r w:rsidRPr="00ED3392">
        <w:rPr>
          <w:rFonts w:ascii="Times New Roman" w:hAnsi="Times New Roman"/>
          <w:sz w:val="27"/>
          <w:szCs w:val="27"/>
        </w:rPr>
        <w:lastRenderedPageBreak/>
        <w:t xml:space="preserve">их в аренду и получать дополнительный доход. Не исключаю, что </w:t>
      </w:r>
      <w:proofErr w:type="spellStart"/>
      <w:r w:rsidRPr="00ED3392">
        <w:rPr>
          <w:rFonts w:ascii="Times New Roman" w:hAnsi="Times New Roman"/>
          <w:sz w:val="27"/>
          <w:szCs w:val="27"/>
        </w:rPr>
        <w:t>Игги</w:t>
      </w:r>
      <w:proofErr w:type="spellEnd"/>
      <w:r w:rsidRPr="00ED3392">
        <w:rPr>
          <w:rFonts w:ascii="Times New Roman" w:hAnsi="Times New Roman"/>
          <w:sz w:val="27"/>
          <w:szCs w:val="27"/>
        </w:rPr>
        <w:t xml:space="preserve"> Поп так и делает.  Скорее всего, он может соблюсти  два условия: первое - необходимо чтобы были свободные деньги, второе – точно знать, что оценка объектов адекватная и объекты юридически чистые.</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К сожалению, замораживая отчисления, государство нарушает периодичность и не позволяет использовать возможности, которые складываются в кризисный период.  Фактически  мы нарушаем  первое условие  для инвестирования –  наличие свободных денежных средств.  Если государство позволяет себе нарушать финансовую дисциплину,  что говорить о рядовых гражданах, которые отважились самостоятельно формировать свою пенсию из текущих доходов? В этом случае дополнительные механизмы стимулирования абсолютно неэффективны. Напротив, в кризисный период  у граждан возникает обоснованное желание «попридержать» деньги без явной цели.</w:t>
      </w:r>
    </w:p>
    <w:p w:rsidR="00241981" w:rsidRPr="00ED3392" w:rsidRDefault="00241981" w:rsidP="00241981">
      <w:pPr>
        <w:spacing w:after="0" w:line="360" w:lineRule="auto"/>
        <w:ind w:firstLine="709"/>
        <w:jc w:val="both"/>
        <w:rPr>
          <w:rFonts w:ascii="Times New Roman" w:hAnsi="Times New Roman"/>
          <w:sz w:val="27"/>
          <w:szCs w:val="27"/>
        </w:rPr>
      </w:pPr>
      <w:r w:rsidRPr="00ED3392">
        <w:rPr>
          <w:rFonts w:ascii="Times New Roman" w:hAnsi="Times New Roman"/>
          <w:sz w:val="27"/>
          <w:szCs w:val="27"/>
        </w:rPr>
        <w:t>К слову сказать, для успешного инвестирования  вовсе не обязательно строгое соблюдение второго условия в каждом случае. Для его выполнения есть негосударственные пенсионные фонды и управляющие компании, которые и должны оценивать риски инвестиций, искать возможности для получения пяти долларов вместо трех. От граждан и государства хотелось бы одного – дисциплины.</w:t>
      </w:r>
    </w:p>
    <w:p w:rsidR="00241981" w:rsidRDefault="00241981"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0A7EB9" w:rsidRDefault="000A7EB9" w:rsidP="00241981">
      <w:pPr>
        <w:spacing w:after="0" w:line="360" w:lineRule="auto"/>
        <w:ind w:firstLine="709"/>
        <w:jc w:val="both"/>
        <w:rPr>
          <w:rFonts w:ascii="Times New Roman" w:hAnsi="Times New Roman"/>
          <w:sz w:val="28"/>
          <w:szCs w:val="28"/>
        </w:rPr>
      </w:pPr>
    </w:p>
    <w:p w:rsidR="00A22665" w:rsidRPr="00274377" w:rsidRDefault="00A22665" w:rsidP="00A22665">
      <w:pPr>
        <w:spacing w:line="360" w:lineRule="auto"/>
        <w:ind w:firstLine="709"/>
        <w:jc w:val="center"/>
        <w:rPr>
          <w:rFonts w:ascii="Times New Roman" w:hAnsi="Times New Roman"/>
          <w:b/>
          <w:noProof/>
          <w:sz w:val="28"/>
          <w:szCs w:val="28"/>
          <w:lang w:eastAsia="ru-RU"/>
        </w:rPr>
      </w:pPr>
      <w:r w:rsidRPr="007C45FD">
        <w:rPr>
          <w:rFonts w:ascii="Times New Roman" w:hAnsi="Times New Roman"/>
          <w:b/>
          <w:noProof/>
          <w:sz w:val="28"/>
          <w:szCs w:val="28"/>
          <w:lang w:eastAsia="ru-RU"/>
        </w:rPr>
        <w:lastRenderedPageBreak/>
        <w:t>Мировые тенденции инвестирования пенсионных средств в условиях вызовов внешней среды</w:t>
      </w:r>
    </w:p>
    <w:p w:rsidR="00A22665" w:rsidRPr="00274377" w:rsidRDefault="00A22665" w:rsidP="00A22665">
      <w:pPr>
        <w:spacing w:line="360" w:lineRule="auto"/>
        <w:ind w:firstLine="709"/>
        <w:jc w:val="center"/>
        <w:rPr>
          <w:rFonts w:ascii="Times New Roman" w:hAnsi="Times New Roman"/>
          <w:b/>
          <w:noProof/>
          <w:sz w:val="28"/>
          <w:szCs w:val="28"/>
          <w:lang w:eastAsia="ru-RU"/>
        </w:rPr>
      </w:pPr>
    </w:p>
    <w:p w:rsidR="00A22665" w:rsidRPr="000C0F7A" w:rsidRDefault="00A22665" w:rsidP="00A22665">
      <w:pPr>
        <w:spacing w:line="360" w:lineRule="auto"/>
        <w:ind w:firstLine="709"/>
        <w:jc w:val="right"/>
        <w:rPr>
          <w:rFonts w:ascii="Times New Roman" w:hAnsi="Times New Roman"/>
          <w:b/>
          <w:noProof/>
          <w:sz w:val="28"/>
          <w:szCs w:val="28"/>
          <w:lang w:val="en-GB" w:eastAsia="ru-RU"/>
        </w:rPr>
      </w:pPr>
      <w:r>
        <w:rPr>
          <w:rFonts w:ascii="Times New Roman" w:hAnsi="Times New Roman"/>
          <w:b/>
          <w:noProof/>
          <w:sz w:val="28"/>
          <w:szCs w:val="28"/>
          <w:lang w:eastAsia="ru-RU"/>
        </w:rPr>
        <w:drawing>
          <wp:inline distT="0" distB="0" distL="0" distR="0" wp14:anchorId="17ED7170" wp14:editId="0B25826C">
            <wp:extent cx="1087207" cy="1628775"/>
            <wp:effectExtent l="0" t="0" r="0" b="0"/>
            <wp:docPr id="9" name="Рисунок 9" descr="C:\Users\AKomarov\Desktop\Журнал новый номер\Номер 24(4)\фото Хме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4(4)\фото Хмелев.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7207" cy="1628775"/>
                    </a:xfrm>
                    <a:prstGeom prst="rect">
                      <a:avLst/>
                    </a:prstGeom>
                    <a:noFill/>
                    <a:ln>
                      <a:noFill/>
                    </a:ln>
                  </pic:spPr>
                </pic:pic>
              </a:graphicData>
            </a:graphic>
          </wp:inline>
        </w:drawing>
      </w:r>
    </w:p>
    <w:p w:rsidR="00A22665" w:rsidRPr="008D3A03" w:rsidRDefault="00A22665" w:rsidP="00A22665">
      <w:pPr>
        <w:spacing w:line="240" w:lineRule="auto"/>
        <w:ind w:firstLine="709"/>
        <w:jc w:val="right"/>
        <w:rPr>
          <w:rFonts w:ascii="Times New Roman" w:hAnsi="Times New Roman"/>
          <w:i/>
          <w:noProof/>
          <w:sz w:val="24"/>
          <w:szCs w:val="24"/>
          <w:lang w:eastAsia="ru-RU"/>
        </w:rPr>
      </w:pPr>
      <w:r w:rsidRPr="000C0F7A">
        <w:rPr>
          <w:rFonts w:ascii="Times New Roman" w:hAnsi="Times New Roman"/>
          <w:i/>
          <w:noProof/>
          <w:sz w:val="24"/>
          <w:szCs w:val="24"/>
          <w:lang w:eastAsia="ru-RU"/>
        </w:rPr>
        <w:t>Антон Александрович</w:t>
      </w:r>
      <w:r w:rsidRPr="008D3A03">
        <w:rPr>
          <w:rFonts w:ascii="Times New Roman" w:hAnsi="Times New Roman"/>
          <w:i/>
          <w:noProof/>
          <w:sz w:val="24"/>
          <w:szCs w:val="24"/>
          <w:lang w:eastAsia="ru-RU"/>
        </w:rPr>
        <w:t xml:space="preserve"> </w:t>
      </w:r>
      <w:r>
        <w:rPr>
          <w:rFonts w:ascii="Times New Roman" w:hAnsi="Times New Roman"/>
          <w:i/>
          <w:noProof/>
          <w:sz w:val="24"/>
          <w:szCs w:val="24"/>
          <w:lang w:eastAsia="ru-RU"/>
        </w:rPr>
        <w:t>Хмелёв</w:t>
      </w:r>
      <w:r w:rsidRPr="000C0F7A">
        <w:rPr>
          <w:rFonts w:ascii="Times New Roman" w:hAnsi="Times New Roman"/>
          <w:i/>
          <w:noProof/>
          <w:sz w:val="24"/>
          <w:szCs w:val="24"/>
          <w:lang w:eastAsia="ru-RU"/>
        </w:rPr>
        <w:t xml:space="preserve">, </w:t>
      </w:r>
    </w:p>
    <w:p w:rsidR="00A22665" w:rsidRPr="000C0F7A" w:rsidRDefault="00A22665" w:rsidP="00A22665">
      <w:pPr>
        <w:spacing w:line="240" w:lineRule="auto"/>
        <w:ind w:firstLine="709"/>
        <w:jc w:val="right"/>
        <w:rPr>
          <w:rFonts w:ascii="Times New Roman" w:hAnsi="Times New Roman"/>
          <w:i/>
          <w:noProof/>
          <w:sz w:val="24"/>
          <w:szCs w:val="24"/>
          <w:lang w:eastAsia="ru-RU"/>
        </w:rPr>
      </w:pPr>
      <w:r w:rsidRPr="000C0F7A">
        <w:rPr>
          <w:rFonts w:ascii="Times New Roman" w:hAnsi="Times New Roman"/>
          <w:i/>
          <w:sz w:val="24"/>
          <w:szCs w:val="24"/>
        </w:rPr>
        <w:t>А</w:t>
      </w:r>
      <w:r w:rsidRPr="000C0F7A">
        <w:rPr>
          <w:rFonts w:ascii="Times New Roman" w:hAnsi="Times New Roman"/>
          <w:i/>
          <w:noProof/>
          <w:sz w:val="24"/>
          <w:szCs w:val="24"/>
          <w:lang w:eastAsia="ru-RU"/>
        </w:rPr>
        <w:t xml:space="preserve">налитик Аналитического отдела </w:t>
      </w:r>
    </w:p>
    <w:p w:rsidR="00A22665" w:rsidRPr="000C0F7A" w:rsidRDefault="00A22665" w:rsidP="00A22665">
      <w:pPr>
        <w:spacing w:line="240" w:lineRule="auto"/>
        <w:ind w:firstLine="709"/>
        <w:jc w:val="right"/>
        <w:rPr>
          <w:rFonts w:ascii="Times New Roman" w:hAnsi="Times New Roman"/>
          <w:i/>
          <w:noProof/>
          <w:sz w:val="24"/>
          <w:szCs w:val="24"/>
          <w:lang w:eastAsia="ru-RU"/>
        </w:rPr>
      </w:pPr>
      <w:r w:rsidRPr="000C0F7A">
        <w:rPr>
          <w:rFonts w:ascii="Times New Roman" w:hAnsi="Times New Roman"/>
          <w:i/>
          <w:noProof/>
          <w:sz w:val="24"/>
          <w:szCs w:val="24"/>
          <w:lang w:eastAsia="ru-RU"/>
        </w:rPr>
        <w:t xml:space="preserve">Департамента организации и процесса инвестирования </w:t>
      </w:r>
    </w:p>
    <w:p w:rsidR="00A22665" w:rsidRPr="000C0F7A" w:rsidRDefault="00A22665" w:rsidP="00A22665">
      <w:pPr>
        <w:spacing w:line="240" w:lineRule="auto"/>
        <w:ind w:firstLine="709"/>
        <w:jc w:val="right"/>
        <w:rPr>
          <w:rFonts w:ascii="Times New Roman" w:hAnsi="Times New Roman"/>
          <w:i/>
          <w:noProof/>
          <w:sz w:val="24"/>
          <w:szCs w:val="24"/>
          <w:lang w:eastAsia="ru-RU"/>
        </w:rPr>
      </w:pPr>
      <w:r w:rsidRPr="000C0F7A">
        <w:rPr>
          <w:rFonts w:ascii="Times New Roman" w:hAnsi="Times New Roman"/>
          <w:i/>
          <w:noProof/>
          <w:sz w:val="24"/>
          <w:szCs w:val="24"/>
          <w:lang w:eastAsia="ru-RU"/>
        </w:rPr>
        <w:t>НПФ Благосостояние</w:t>
      </w:r>
      <w:r w:rsidRPr="000C0F7A">
        <w:rPr>
          <w:rStyle w:val="a7"/>
          <w:rFonts w:ascii="Times New Roman" w:hAnsi="Times New Roman"/>
          <w:i/>
          <w:noProof/>
          <w:sz w:val="24"/>
          <w:szCs w:val="24"/>
          <w:lang w:eastAsia="ru-RU"/>
        </w:rPr>
        <w:t xml:space="preserve"> </w:t>
      </w:r>
    </w:p>
    <w:p w:rsidR="00A22665" w:rsidRPr="008D3A03" w:rsidRDefault="00A22665" w:rsidP="00A22665">
      <w:pPr>
        <w:spacing w:after="0" w:line="360" w:lineRule="auto"/>
        <w:ind w:firstLine="709"/>
        <w:jc w:val="both"/>
        <w:rPr>
          <w:rFonts w:ascii="Times New Roman" w:hAnsi="Times New Roman"/>
          <w:sz w:val="27"/>
          <w:szCs w:val="27"/>
        </w:rPr>
      </w:pPr>
    </w:p>
    <w:p w:rsidR="00A22665" w:rsidRPr="000C0F7A" w:rsidRDefault="00A22665" w:rsidP="00A22665">
      <w:pPr>
        <w:spacing w:after="0" w:line="360" w:lineRule="auto"/>
        <w:ind w:firstLine="709"/>
        <w:jc w:val="both"/>
        <w:rPr>
          <w:rFonts w:ascii="Times New Roman" w:hAnsi="Times New Roman"/>
          <w:b/>
          <w:noProof/>
          <w:sz w:val="27"/>
          <w:szCs w:val="27"/>
          <w:lang w:eastAsia="ru-RU"/>
        </w:rPr>
      </w:pPr>
      <w:r w:rsidRPr="000C0F7A">
        <w:rPr>
          <w:rFonts w:ascii="Times New Roman" w:hAnsi="Times New Roman"/>
          <w:sz w:val="27"/>
          <w:szCs w:val="27"/>
        </w:rPr>
        <w:t xml:space="preserve">Сегодня пенсионные фонды сталкиваются с тремя базовыми вызовами внешней среды: снижением процентных ставок, ростом продолжительности жизни населения стран ОЭСР и программами количественного смягчения крупнейших центральных банков мира. Найдут ли пенсионные фонды выход из сложившейся ситуации? Анализ исторических данных и докладов ведущих пенсионных консультантов показал, что в среднесрочной перспективе фонды прибегнут к страхованию рисков процентной ставки, инфляции и продолжительности жизни. В долгосрочной же перспективе фонды будут совершенствовать инвестиционную экспертизу и систему </w:t>
      </w:r>
      <w:proofErr w:type="gramStart"/>
      <w:r w:rsidRPr="000C0F7A">
        <w:rPr>
          <w:rFonts w:ascii="Times New Roman" w:hAnsi="Times New Roman"/>
          <w:sz w:val="27"/>
          <w:szCs w:val="27"/>
        </w:rPr>
        <w:t>риск-менеджмента</w:t>
      </w:r>
      <w:proofErr w:type="gramEnd"/>
      <w:r w:rsidRPr="000C0F7A">
        <w:rPr>
          <w:rFonts w:ascii="Times New Roman" w:hAnsi="Times New Roman"/>
          <w:sz w:val="27"/>
          <w:szCs w:val="27"/>
        </w:rPr>
        <w:t xml:space="preserve">, что позволит оперативно и комплексно реагировать на вызовы внешней среды. </w:t>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Специфика инвестирования пенсионных средств определяется долгосрочным характером деятельности пенсионных фондов и, соответственно, необходимостью учета догосрочных глобальных рыночных трендов. На современном этапе пенсионные фонды функционируют в условиях действия следующих основных трендов, или вызовов внешней среды.</w:t>
      </w:r>
    </w:p>
    <w:p w:rsidR="00A22665" w:rsidRPr="00274377"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lastRenderedPageBreak/>
        <w:t xml:space="preserve">Первый вызов – историческое снижение процентных ставок на пространстве ОЭСР, которое продолжается уже не одно десятилетие. Как следствие, реальная доходность инвестирования пенсионных средств имеет устойчивую тенденцию к снижению не только в ЕС, но и в США (см. Рис.1 и Рис.2).  </w:t>
      </w:r>
    </w:p>
    <w:p w:rsidR="00A22665" w:rsidRPr="00274377" w:rsidRDefault="00A22665" w:rsidP="00A22665">
      <w:pPr>
        <w:spacing w:after="0" w:line="360" w:lineRule="auto"/>
        <w:ind w:firstLine="709"/>
        <w:jc w:val="both"/>
        <w:rPr>
          <w:rFonts w:ascii="Times New Roman" w:hAnsi="Times New Roman"/>
          <w:noProof/>
          <w:sz w:val="27"/>
          <w:szCs w:val="27"/>
          <w:lang w:eastAsia="ru-RU"/>
        </w:rPr>
      </w:pPr>
    </w:p>
    <w:p w:rsidR="00A22665" w:rsidRPr="00275AD2" w:rsidRDefault="00A22665" w:rsidP="00A22665">
      <w:pPr>
        <w:jc w:val="center"/>
        <w:rPr>
          <w:rFonts w:ascii="Times New Roman" w:hAnsi="Times New Roman"/>
          <w:noProof/>
          <w:sz w:val="24"/>
          <w:szCs w:val="24"/>
          <w:lang w:eastAsia="ru-RU"/>
        </w:rPr>
      </w:pPr>
      <w:r w:rsidRPr="00275AD2">
        <w:rPr>
          <w:rFonts w:ascii="Times New Roman" w:hAnsi="Times New Roman"/>
          <w:noProof/>
          <w:sz w:val="24"/>
          <w:szCs w:val="24"/>
          <w:lang w:eastAsia="ru-RU"/>
        </w:rPr>
        <w:t>Рис. 1. Тренд реальной доходности ПФ Нидерландов за 1986-2013</w:t>
      </w:r>
      <w:r>
        <w:rPr>
          <w:rStyle w:val="a7"/>
          <w:rFonts w:ascii="Times New Roman" w:hAnsi="Times New Roman"/>
          <w:noProof/>
          <w:sz w:val="24"/>
          <w:szCs w:val="24"/>
          <w:lang w:eastAsia="ru-RU"/>
        </w:rPr>
        <w:footnoteReference w:id="1"/>
      </w:r>
      <w:r w:rsidRPr="00275AD2">
        <w:rPr>
          <w:rFonts w:ascii="Times New Roman" w:hAnsi="Times New Roman"/>
          <w:noProof/>
          <w:sz w:val="24"/>
          <w:szCs w:val="24"/>
          <w:lang w:eastAsia="ru-RU"/>
        </w:rPr>
        <w:t xml:space="preserve"> гг.</w:t>
      </w:r>
    </w:p>
    <w:p w:rsidR="00A22665" w:rsidRDefault="00A22665" w:rsidP="00A22665">
      <w:pPr>
        <w:jc w:val="center"/>
        <w:rPr>
          <w:noProof/>
          <w:lang w:eastAsia="ru-RU"/>
        </w:rPr>
      </w:pPr>
      <w:r>
        <w:rPr>
          <w:noProof/>
          <w:lang w:eastAsia="ru-RU"/>
        </w:rPr>
        <w:drawing>
          <wp:inline distT="0" distB="0" distL="0" distR="0" wp14:anchorId="3E816EB5" wp14:editId="0680F524">
            <wp:extent cx="4586177" cy="1878418"/>
            <wp:effectExtent l="0" t="0" r="5080" b="762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2665" w:rsidRPr="00275AD2" w:rsidRDefault="00A22665" w:rsidP="00A22665">
      <w:pPr>
        <w:jc w:val="center"/>
        <w:rPr>
          <w:noProof/>
          <w:lang w:eastAsia="ru-RU"/>
        </w:rPr>
      </w:pPr>
      <w:r w:rsidRPr="00275AD2">
        <w:rPr>
          <w:rFonts w:ascii="Times New Roman" w:hAnsi="Times New Roman"/>
          <w:noProof/>
          <w:sz w:val="24"/>
          <w:szCs w:val="24"/>
          <w:lang w:eastAsia="ru-RU"/>
        </w:rPr>
        <w:t>Рис. 2</w:t>
      </w:r>
      <w:r>
        <w:rPr>
          <w:rFonts w:ascii="Times New Roman" w:hAnsi="Times New Roman"/>
          <w:noProof/>
          <w:sz w:val="24"/>
          <w:szCs w:val="24"/>
          <w:lang w:eastAsia="ru-RU"/>
        </w:rPr>
        <w:t>.</w:t>
      </w:r>
      <w:r w:rsidRPr="00275AD2">
        <w:rPr>
          <w:rFonts w:ascii="Times New Roman" w:hAnsi="Times New Roman"/>
          <w:noProof/>
          <w:sz w:val="24"/>
          <w:szCs w:val="24"/>
          <w:lang w:eastAsia="ru-RU"/>
        </w:rPr>
        <w:t xml:space="preserve"> Тренд реальной доходн</w:t>
      </w:r>
      <w:r>
        <w:rPr>
          <w:rFonts w:ascii="Times New Roman" w:hAnsi="Times New Roman"/>
          <w:noProof/>
          <w:sz w:val="24"/>
          <w:szCs w:val="24"/>
          <w:lang w:eastAsia="ru-RU"/>
        </w:rPr>
        <w:t xml:space="preserve">ости </w:t>
      </w:r>
      <w:r w:rsidRPr="00275AD2">
        <w:rPr>
          <w:rFonts w:ascii="Times New Roman" w:hAnsi="Times New Roman"/>
          <w:noProof/>
          <w:sz w:val="24"/>
          <w:szCs w:val="24"/>
          <w:lang w:eastAsia="ru-RU"/>
        </w:rPr>
        <w:t>ПФ США (</w:t>
      </w:r>
      <w:r w:rsidRPr="00275AD2">
        <w:rPr>
          <w:rFonts w:ascii="Times New Roman" w:hAnsi="Times New Roman"/>
          <w:noProof/>
          <w:sz w:val="24"/>
          <w:szCs w:val="24"/>
          <w:lang w:val="en-US" w:eastAsia="ru-RU"/>
        </w:rPr>
        <w:t>DB</w:t>
      </w:r>
      <w:r w:rsidRPr="00275AD2">
        <w:rPr>
          <w:rFonts w:ascii="Times New Roman" w:hAnsi="Times New Roman"/>
          <w:noProof/>
          <w:sz w:val="24"/>
          <w:szCs w:val="24"/>
          <w:lang w:eastAsia="ru-RU"/>
        </w:rPr>
        <w:t>) за 1986-2014</w:t>
      </w:r>
      <w:r>
        <w:rPr>
          <w:rStyle w:val="a7"/>
          <w:rFonts w:ascii="Times New Roman" w:hAnsi="Times New Roman"/>
          <w:noProof/>
          <w:sz w:val="24"/>
          <w:szCs w:val="24"/>
          <w:lang w:eastAsia="ru-RU"/>
        </w:rPr>
        <w:footnoteReference w:id="2"/>
      </w:r>
      <w:r w:rsidRPr="00275AD2">
        <w:rPr>
          <w:rFonts w:ascii="Times New Roman" w:hAnsi="Times New Roman"/>
          <w:noProof/>
          <w:sz w:val="24"/>
          <w:szCs w:val="24"/>
          <w:lang w:eastAsia="ru-RU"/>
        </w:rPr>
        <w:t xml:space="preserve"> гг.</w:t>
      </w:r>
    </w:p>
    <w:p w:rsidR="00A22665" w:rsidRDefault="00A22665" w:rsidP="00A22665">
      <w:pPr>
        <w:jc w:val="center"/>
        <w:rPr>
          <w:noProof/>
          <w:lang w:eastAsia="ru-RU"/>
        </w:rPr>
      </w:pPr>
      <w:r>
        <w:rPr>
          <w:noProof/>
          <w:lang w:eastAsia="ru-RU"/>
        </w:rPr>
        <w:drawing>
          <wp:inline distT="0" distB="0" distL="0" distR="0" wp14:anchorId="397C5319" wp14:editId="718CBBCC">
            <wp:extent cx="5940055" cy="2006009"/>
            <wp:effectExtent l="0" t="0" r="3810" b="0"/>
            <wp:docPr id="4"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Фундаментальная причина снижения процентных ставок кроется в несбалансированном использовании свободного капитала: в условиях высокой привлекательности спекулятивных финансовых операций  капитал аккумулируется на фондовых рынках, что приводит к необусловленному фундаментальными факторами увеличению стоимости активов (акций, гос.облигаций, корпоративных бондов и альтернативных активов), что ведет к дальнейшему понижению ставок. </w:t>
      </w:r>
    </w:p>
    <w:p w:rsidR="00A22665" w:rsidRPr="00274377"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lastRenderedPageBreak/>
        <w:t xml:space="preserve">Второй вызов – рост продолжительности жизни в странах ОЭСР, который также длится несколько десятилетий и прогнозируется, как минимум, до первой трети </w:t>
      </w:r>
      <w:r w:rsidRPr="000C0F7A">
        <w:rPr>
          <w:rFonts w:ascii="Times New Roman" w:hAnsi="Times New Roman"/>
          <w:noProof/>
          <w:sz w:val="27"/>
          <w:szCs w:val="27"/>
          <w:lang w:val="en-US" w:eastAsia="ru-RU"/>
        </w:rPr>
        <w:t>XXI</w:t>
      </w:r>
      <w:r w:rsidRPr="000C0F7A">
        <w:rPr>
          <w:rFonts w:ascii="Times New Roman" w:hAnsi="Times New Roman"/>
          <w:noProof/>
          <w:sz w:val="27"/>
          <w:szCs w:val="27"/>
          <w:lang w:eastAsia="ru-RU"/>
        </w:rPr>
        <w:t xml:space="preserve"> века включительно.</w:t>
      </w:r>
    </w:p>
    <w:p w:rsidR="00A22665" w:rsidRPr="00274377" w:rsidRDefault="00A22665" w:rsidP="00A22665">
      <w:pPr>
        <w:spacing w:after="0" w:line="360" w:lineRule="auto"/>
        <w:ind w:firstLine="709"/>
        <w:jc w:val="both"/>
        <w:rPr>
          <w:rFonts w:ascii="Times New Roman" w:hAnsi="Times New Roman"/>
          <w:noProof/>
          <w:sz w:val="27"/>
          <w:szCs w:val="27"/>
          <w:lang w:eastAsia="ru-RU"/>
        </w:rPr>
      </w:pPr>
    </w:p>
    <w:p w:rsidR="00A22665" w:rsidRPr="00C12C61" w:rsidRDefault="00A22665" w:rsidP="00A22665">
      <w:pPr>
        <w:jc w:val="center"/>
        <w:rPr>
          <w:rFonts w:ascii="Times New Roman" w:hAnsi="Times New Roman"/>
          <w:noProof/>
          <w:sz w:val="24"/>
          <w:szCs w:val="24"/>
          <w:lang w:eastAsia="ru-RU"/>
        </w:rPr>
      </w:pPr>
      <w:r w:rsidRPr="00C12C61">
        <w:rPr>
          <w:rFonts w:ascii="Times New Roman" w:hAnsi="Times New Roman"/>
          <w:noProof/>
          <w:sz w:val="24"/>
          <w:szCs w:val="24"/>
          <w:lang w:eastAsia="ru-RU"/>
        </w:rPr>
        <w:t>Рис. 3. Отношение работающих граждан к пенсионерам в странах ОЭСР</w:t>
      </w:r>
      <w:r>
        <w:rPr>
          <w:rStyle w:val="a7"/>
          <w:rFonts w:ascii="Times New Roman" w:hAnsi="Times New Roman"/>
          <w:noProof/>
          <w:sz w:val="24"/>
          <w:szCs w:val="24"/>
          <w:lang w:eastAsia="ru-RU"/>
        </w:rPr>
        <w:footnoteReference w:id="3"/>
      </w:r>
    </w:p>
    <w:p w:rsidR="00A22665" w:rsidRDefault="00A22665" w:rsidP="00A22665">
      <w:pPr>
        <w:jc w:val="center"/>
        <w:rPr>
          <w:noProof/>
          <w:lang w:eastAsia="ru-RU"/>
        </w:rPr>
      </w:pPr>
      <w:r>
        <w:rPr>
          <w:noProof/>
          <w:lang w:eastAsia="ru-RU"/>
        </w:rPr>
        <w:drawing>
          <wp:inline distT="0" distB="0" distL="0" distR="0" wp14:anchorId="422ED856" wp14:editId="1A2E2772">
            <wp:extent cx="5932967" cy="1743740"/>
            <wp:effectExtent l="0" t="0" r="0" b="8890"/>
            <wp:docPr id="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2665" w:rsidRPr="000C0F7A" w:rsidRDefault="00A22665" w:rsidP="00A22665">
      <w:pPr>
        <w:spacing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Оба отмеченных тренда оказывают негативное влияние на фондирование</w:t>
      </w:r>
      <w:r w:rsidRPr="000C0F7A">
        <w:rPr>
          <w:rStyle w:val="a7"/>
          <w:rFonts w:ascii="Times New Roman" w:hAnsi="Times New Roman"/>
          <w:noProof/>
          <w:sz w:val="27"/>
          <w:szCs w:val="27"/>
          <w:lang w:eastAsia="ru-RU"/>
        </w:rPr>
        <w:footnoteReference w:id="4"/>
      </w:r>
      <w:r w:rsidRPr="000C0F7A">
        <w:rPr>
          <w:rFonts w:ascii="Times New Roman" w:hAnsi="Times New Roman"/>
          <w:noProof/>
          <w:sz w:val="27"/>
          <w:szCs w:val="27"/>
          <w:lang w:eastAsia="ru-RU"/>
        </w:rPr>
        <w:t xml:space="preserve"> пенсионных схем. </w:t>
      </w:r>
    </w:p>
    <w:p w:rsidR="00A22665" w:rsidRPr="008B5474" w:rsidRDefault="00A22665" w:rsidP="00A22665">
      <w:pPr>
        <w:spacing w:line="360" w:lineRule="auto"/>
        <w:ind w:firstLine="709"/>
        <w:jc w:val="center"/>
        <w:rPr>
          <w:rFonts w:ascii="Times New Roman" w:hAnsi="Times New Roman"/>
          <w:noProof/>
          <w:sz w:val="24"/>
          <w:szCs w:val="24"/>
          <w:lang w:eastAsia="ru-RU"/>
        </w:rPr>
      </w:pPr>
      <w:r w:rsidRPr="008B5474">
        <w:rPr>
          <w:rFonts w:ascii="Times New Roman" w:hAnsi="Times New Roman"/>
          <w:noProof/>
          <w:sz w:val="24"/>
          <w:szCs w:val="24"/>
          <w:lang w:eastAsia="ru-RU"/>
        </w:rPr>
        <w:t xml:space="preserve">Рис. 4. Фондирование 100 крупнейших </w:t>
      </w:r>
      <w:r w:rsidRPr="008B5474">
        <w:rPr>
          <w:rFonts w:ascii="Times New Roman" w:hAnsi="Times New Roman"/>
          <w:noProof/>
          <w:sz w:val="24"/>
          <w:szCs w:val="24"/>
          <w:lang w:val="en-US" w:eastAsia="ru-RU"/>
        </w:rPr>
        <w:t>DB</w:t>
      </w:r>
      <w:r w:rsidRPr="008B5474">
        <w:rPr>
          <w:rFonts w:ascii="Times New Roman" w:hAnsi="Times New Roman"/>
          <w:noProof/>
          <w:sz w:val="24"/>
          <w:szCs w:val="24"/>
          <w:lang w:eastAsia="ru-RU"/>
        </w:rPr>
        <w:t>-схем США</w:t>
      </w:r>
      <w:r>
        <w:rPr>
          <w:rStyle w:val="a7"/>
          <w:rFonts w:ascii="Times New Roman" w:hAnsi="Times New Roman"/>
          <w:noProof/>
          <w:sz w:val="24"/>
          <w:szCs w:val="24"/>
          <w:lang w:eastAsia="ru-RU"/>
        </w:rPr>
        <w:footnoteReference w:id="5"/>
      </w:r>
    </w:p>
    <w:p w:rsidR="00A22665" w:rsidRDefault="00A22665" w:rsidP="00A22665">
      <w:pPr>
        <w:spacing w:line="360" w:lineRule="auto"/>
        <w:ind w:firstLine="709"/>
        <w:jc w:val="center"/>
        <w:rPr>
          <w:noProof/>
          <w:lang w:eastAsia="ru-RU"/>
        </w:rPr>
      </w:pPr>
      <w:r>
        <w:rPr>
          <w:noProof/>
          <w:lang w:eastAsia="ru-RU"/>
        </w:rPr>
        <w:drawing>
          <wp:inline distT="0" distB="0" distL="0" distR="0" wp14:anchorId="17EBFB64" wp14:editId="5317EA7E">
            <wp:extent cx="4572000" cy="1906772"/>
            <wp:effectExtent l="0" t="0" r="0" b="0"/>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2665" w:rsidRPr="000C0F7A" w:rsidRDefault="00A22665" w:rsidP="00A22665">
      <w:pPr>
        <w:spacing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Падение рыночных ставок напрямую влияет на ставки дисконтирования, по которым фонды рассчитывают обязательства. В странах ОЭСР ставка дисконта складывается из ожидаемой доходности рыночных активов</w:t>
      </w:r>
      <w:r w:rsidRPr="000C0F7A">
        <w:rPr>
          <w:rStyle w:val="a7"/>
          <w:rFonts w:ascii="Times New Roman" w:hAnsi="Times New Roman"/>
          <w:noProof/>
          <w:sz w:val="27"/>
          <w:szCs w:val="27"/>
          <w:lang w:eastAsia="ru-RU"/>
        </w:rPr>
        <w:footnoteReference w:id="6"/>
      </w:r>
      <w:r w:rsidRPr="000C0F7A">
        <w:rPr>
          <w:rFonts w:ascii="Times New Roman" w:hAnsi="Times New Roman"/>
          <w:noProof/>
          <w:sz w:val="27"/>
          <w:szCs w:val="27"/>
          <w:lang w:eastAsia="ru-RU"/>
        </w:rPr>
        <w:t xml:space="preserve"> и становится частью программ фондов по пенсионному обеспечению. Поскольку фактическая доходность активов оказывается ниже ожидаемой, возникает разрыв в доходах от </w:t>
      </w:r>
      <w:r w:rsidRPr="000C0F7A">
        <w:rPr>
          <w:rFonts w:ascii="Times New Roman" w:hAnsi="Times New Roman"/>
          <w:noProof/>
          <w:sz w:val="27"/>
          <w:szCs w:val="27"/>
          <w:lang w:eastAsia="ru-RU"/>
        </w:rPr>
        <w:lastRenderedPageBreak/>
        <w:t xml:space="preserve">инвестирования пенсионных средств, что оказывает понижающее давление на коэффициент фондирования, т.к. активы прирастают медленнее обязательств. </w:t>
      </w:r>
    </w:p>
    <w:p w:rsidR="00A22665" w:rsidRPr="000C0F7A" w:rsidRDefault="00A22665" w:rsidP="00A22665">
      <w:pPr>
        <w:spacing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В свою очередь, рост продолжительности жизни приводит к росту обязательств. В результате растет дефицит пенсионных схем.</w:t>
      </w:r>
    </w:p>
    <w:p w:rsidR="00A22665" w:rsidRPr="002432D9" w:rsidRDefault="00A22665" w:rsidP="00A22665">
      <w:pPr>
        <w:spacing w:line="360" w:lineRule="auto"/>
        <w:ind w:firstLine="709"/>
        <w:jc w:val="both"/>
        <w:rPr>
          <w:rFonts w:ascii="Times New Roman" w:hAnsi="Times New Roman"/>
          <w:noProof/>
          <w:sz w:val="24"/>
          <w:szCs w:val="24"/>
          <w:lang w:eastAsia="ru-RU"/>
        </w:rPr>
      </w:pPr>
      <w:r w:rsidRPr="002432D9">
        <w:rPr>
          <w:rFonts w:ascii="Times New Roman" w:hAnsi="Times New Roman"/>
          <w:noProof/>
          <w:sz w:val="24"/>
          <w:szCs w:val="24"/>
          <w:lang w:eastAsia="ru-RU"/>
        </w:rPr>
        <w:t xml:space="preserve">Рис. 5. Активы и обязательства 100 крупнейших </w:t>
      </w:r>
      <w:r w:rsidRPr="002432D9">
        <w:rPr>
          <w:rFonts w:ascii="Times New Roman" w:hAnsi="Times New Roman"/>
          <w:noProof/>
          <w:sz w:val="24"/>
          <w:szCs w:val="24"/>
          <w:lang w:val="en-US" w:eastAsia="ru-RU"/>
        </w:rPr>
        <w:t>DB</w:t>
      </w:r>
      <w:r w:rsidRPr="002432D9">
        <w:rPr>
          <w:rFonts w:ascii="Times New Roman" w:hAnsi="Times New Roman"/>
          <w:noProof/>
          <w:sz w:val="24"/>
          <w:szCs w:val="24"/>
          <w:lang w:eastAsia="ru-RU"/>
        </w:rPr>
        <w:t>-схем США</w:t>
      </w:r>
      <w:r>
        <w:rPr>
          <w:rStyle w:val="a7"/>
          <w:rFonts w:ascii="Times New Roman" w:hAnsi="Times New Roman"/>
          <w:noProof/>
          <w:sz w:val="24"/>
          <w:szCs w:val="24"/>
          <w:lang w:eastAsia="ru-RU"/>
        </w:rPr>
        <w:footnoteReference w:id="7"/>
      </w:r>
    </w:p>
    <w:p w:rsidR="00A22665" w:rsidRDefault="00A22665" w:rsidP="00A22665">
      <w:pPr>
        <w:spacing w:line="360" w:lineRule="auto"/>
        <w:ind w:firstLine="709"/>
        <w:rPr>
          <w:noProof/>
          <w:lang w:eastAsia="ru-RU"/>
        </w:rPr>
      </w:pPr>
      <w:r>
        <w:rPr>
          <w:noProof/>
          <w:lang w:eastAsia="ru-RU"/>
        </w:rPr>
        <w:drawing>
          <wp:inline distT="0" distB="0" distL="0" distR="0" wp14:anchorId="2B34664F" wp14:editId="1445BC71">
            <wp:extent cx="5932968" cy="2176130"/>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Так, агрегированный уровень фондирования корпоративных схем в США на конец 2014 года составил 77,8%, сократившись за год на 12%; фондирование 350 крупнейших британских корпоративных схем за тот же период упало на 6% до уровня 85%, а дефицит британских схем в январе 2015 года составил £133 млрд. ($204,2 млрд.).   </w:t>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Третий вызов – политика количественного смягчения в США и Европе  (далее – </w:t>
      </w:r>
      <w:r w:rsidRPr="000C0F7A">
        <w:rPr>
          <w:rFonts w:ascii="Times New Roman" w:hAnsi="Times New Roman"/>
          <w:noProof/>
          <w:sz w:val="27"/>
          <w:szCs w:val="27"/>
          <w:lang w:val="en-US" w:eastAsia="ru-RU"/>
        </w:rPr>
        <w:t>QE</w:t>
      </w:r>
      <w:r w:rsidRPr="000C0F7A">
        <w:rPr>
          <w:rFonts w:ascii="Times New Roman" w:hAnsi="Times New Roman"/>
          <w:noProof/>
          <w:sz w:val="27"/>
          <w:szCs w:val="27"/>
          <w:lang w:eastAsia="ru-RU"/>
        </w:rPr>
        <w:t xml:space="preserve">). По оценкам экспертов, благодаря программе </w:t>
      </w:r>
      <w:r w:rsidRPr="000C0F7A">
        <w:rPr>
          <w:rFonts w:ascii="Times New Roman" w:hAnsi="Times New Roman"/>
          <w:noProof/>
          <w:sz w:val="27"/>
          <w:szCs w:val="27"/>
          <w:lang w:val="en-US" w:eastAsia="ru-RU"/>
        </w:rPr>
        <w:t>QE</w:t>
      </w:r>
      <w:r w:rsidRPr="000C0F7A">
        <w:rPr>
          <w:rFonts w:ascii="Times New Roman" w:hAnsi="Times New Roman"/>
          <w:noProof/>
          <w:sz w:val="27"/>
          <w:szCs w:val="27"/>
          <w:lang w:eastAsia="ru-RU"/>
        </w:rPr>
        <w:t xml:space="preserve"> фондирование европейских </w:t>
      </w:r>
      <w:r w:rsidRPr="000C0F7A">
        <w:rPr>
          <w:rFonts w:ascii="Times New Roman" w:hAnsi="Times New Roman"/>
          <w:noProof/>
          <w:sz w:val="27"/>
          <w:szCs w:val="27"/>
          <w:lang w:val="en-US" w:eastAsia="ru-RU"/>
        </w:rPr>
        <w:t>DB</w:t>
      </w:r>
      <w:r w:rsidRPr="000C0F7A">
        <w:rPr>
          <w:rFonts w:ascii="Times New Roman" w:hAnsi="Times New Roman"/>
          <w:noProof/>
          <w:sz w:val="27"/>
          <w:szCs w:val="27"/>
          <w:lang w:eastAsia="ru-RU"/>
        </w:rPr>
        <w:t xml:space="preserve">-схем может упасть более, чем на 15%, т.к. обязательства могут вырасти на 18%. </w:t>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Данные оценки выглядят реалистично в свете парадоксального эффекта от </w:t>
      </w:r>
      <w:r w:rsidRPr="000C0F7A">
        <w:rPr>
          <w:rFonts w:ascii="Times New Roman" w:hAnsi="Times New Roman"/>
          <w:noProof/>
          <w:sz w:val="27"/>
          <w:szCs w:val="27"/>
          <w:lang w:val="en-US" w:eastAsia="ru-RU"/>
        </w:rPr>
        <w:t>QE</w:t>
      </w:r>
      <w:r w:rsidRPr="000C0F7A">
        <w:rPr>
          <w:rFonts w:ascii="Times New Roman" w:hAnsi="Times New Roman"/>
          <w:noProof/>
          <w:sz w:val="27"/>
          <w:szCs w:val="27"/>
          <w:lang w:eastAsia="ru-RU"/>
        </w:rPr>
        <w:t xml:space="preserve">: с момента запуска программы в Европе, инвесторы бросились скупать правительственные бонды в надежде перепродать их подороже Европейскому Центральному Банку. Ажиотажный спрос на госбонды еще более усилил снижение процентных ставок, и первые итоги </w:t>
      </w:r>
      <w:r w:rsidRPr="000C0F7A">
        <w:rPr>
          <w:rFonts w:ascii="Times New Roman" w:hAnsi="Times New Roman"/>
          <w:noProof/>
          <w:sz w:val="27"/>
          <w:szCs w:val="27"/>
          <w:lang w:val="en-US" w:eastAsia="ru-RU"/>
        </w:rPr>
        <w:t>QE</w:t>
      </w:r>
      <w:r w:rsidRPr="000C0F7A">
        <w:rPr>
          <w:rFonts w:ascii="Times New Roman" w:hAnsi="Times New Roman"/>
          <w:noProof/>
          <w:sz w:val="27"/>
          <w:szCs w:val="27"/>
          <w:lang w:eastAsia="ru-RU"/>
        </w:rPr>
        <w:t xml:space="preserve"> для европейских пенсионных фондов были подведены уже в конце 1-го кв. 2015 года: в марте фондирование голландских фондов сократилось в среднем на 2% (до 104%, что ниже законодательно требуемого </w:t>
      </w:r>
      <w:r w:rsidRPr="000C0F7A">
        <w:rPr>
          <w:rFonts w:ascii="Times New Roman" w:hAnsi="Times New Roman"/>
          <w:noProof/>
          <w:sz w:val="27"/>
          <w:szCs w:val="27"/>
          <w:lang w:eastAsia="ru-RU"/>
        </w:rPr>
        <w:lastRenderedPageBreak/>
        <w:t>уровня в 105%); их обязательства благодаря падению ставок выросли на 7,1%. При сложившемся уровне процентных ставок голландские фонды больше не смогут гарантировать доходность на уровне инфляции. К маю 2015 года стоимость пенсионного обеспечения для голландских фондов выросла на 10% или в среднем на 1% от зарплаты участника.</w:t>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 Отвечать на указанные вызовы пенсионным фондам придется  посредством увеличения взносов, снижения выплат и увеличения риска невыполнения обязательств перед участниками. Кроме того, для увеличения доходности активов пенсионные фонды начинают шире диверсифицировать инвестиционный портфель, наращивая долю акций, высокодоходных облигаций и альтернативных инструментов (в частности, активов инфраструктуры, прямых инвестиций и недвижимости). Эксперты </w:t>
      </w:r>
      <w:proofErr w:type="spellStart"/>
      <w:r w:rsidRPr="000C0F7A">
        <w:rPr>
          <w:rFonts w:ascii="Times New Roman" w:hAnsi="Times New Roman"/>
          <w:color w:val="000000" w:themeColor="text1"/>
          <w:sz w:val="27"/>
          <w:szCs w:val="27"/>
          <w:shd w:val="clear" w:color="auto" w:fill="FFFFFF"/>
        </w:rPr>
        <w:t>PricewaterhouseCoopers</w:t>
      </w:r>
      <w:proofErr w:type="spellEnd"/>
      <w:r w:rsidRPr="000C0F7A">
        <w:rPr>
          <w:rFonts w:ascii="Times New Roman" w:hAnsi="Times New Roman"/>
          <w:noProof/>
          <w:color w:val="000000" w:themeColor="text1"/>
          <w:sz w:val="27"/>
          <w:szCs w:val="27"/>
          <w:lang w:eastAsia="ru-RU"/>
        </w:rPr>
        <w:t xml:space="preserve"> (</w:t>
      </w:r>
      <w:r w:rsidRPr="000C0F7A">
        <w:rPr>
          <w:rFonts w:ascii="Times New Roman" w:hAnsi="Times New Roman"/>
          <w:noProof/>
          <w:color w:val="000000" w:themeColor="text1"/>
          <w:sz w:val="27"/>
          <w:szCs w:val="27"/>
          <w:lang w:val="en-GB" w:eastAsia="ru-RU"/>
        </w:rPr>
        <w:t>PwC</w:t>
      </w:r>
      <w:r w:rsidRPr="000C0F7A">
        <w:rPr>
          <w:rFonts w:ascii="Times New Roman" w:hAnsi="Times New Roman"/>
          <w:noProof/>
          <w:color w:val="000000" w:themeColor="text1"/>
          <w:sz w:val="27"/>
          <w:szCs w:val="27"/>
          <w:lang w:eastAsia="ru-RU"/>
        </w:rPr>
        <w:t xml:space="preserve">) </w:t>
      </w:r>
      <w:r w:rsidRPr="000C0F7A">
        <w:rPr>
          <w:rFonts w:ascii="Times New Roman" w:hAnsi="Times New Roman"/>
          <w:noProof/>
          <w:sz w:val="27"/>
          <w:szCs w:val="27"/>
          <w:lang w:eastAsia="ru-RU"/>
        </w:rPr>
        <w:t>прогнозируют рост альтернативных инвестиций с $7,9 трлн. в 2013 году до $13,6 трлн. в 2020 году.</w:t>
      </w:r>
    </w:p>
    <w:p w:rsidR="00A22665" w:rsidRPr="00274377" w:rsidRDefault="00A22665" w:rsidP="00A22665">
      <w:pPr>
        <w:spacing w:line="360" w:lineRule="auto"/>
        <w:ind w:firstLine="709"/>
        <w:jc w:val="center"/>
        <w:rPr>
          <w:rFonts w:ascii="Times New Roman" w:hAnsi="Times New Roman"/>
          <w:noProof/>
          <w:sz w:val="24"/>
          <w:szCs w:val="24"/>
          <w:lang w:eastAsia="ru-RU"/>
        </w:rPr>
      </w:pPr>
    </w:p>
    <w:p w:rsidR="00A22665" w:rsidRPr="00DD1ECB" w:rsidRDefault="00A22665" w:rsidP="00A22665">
      <w:pPr>
        <w:spacing w:line="360" w:lineRule="auto"/>
        <w:ind w:firstLine="709"/>
        <w:jc w:val="center"/>
        <w:rPr>
          <w:rFonts w:ascii="Times New Roman" w:hAnsi="Times New Roman"/>
          <w:noProof/>
          <w:sz w:val="24"/>
          <w:szCs w:val="24"/>
          <w:lang w:eastAsia="ru-RU"/>
        </w:rPr>
      </w:pPr>
      <w:r w:rsidRPr="00DD1ECB">
        <w:rPr>
          <w:rFonts w:ascii="Times New Roman" w:hAnsi="Times New Roman"/>
          <w:noProof/>
          <w:sz w:val="24"/>
          <w:szCs w:val="24"/>
          <w:lang w:eastAsia="ru-RU"/>
        </w:rPr>
        <w:t>Рис. 6. Динамика активов ПФ ЕС в 2013-2014</w:t>
      </w:r>
      <w:r>
        <w:rPr>
          <w:rStyle w:val="a7"/>
          <w:rFonts w:ascii="Times New Roman" w:hAnsi="Times New Roman"/>
          <w:noProof/>
          <w:sz w:val="24"/>
          <w:szCs w:val="24"/>
          <w:lang w:eastAsia="ru-RU"/>
        </w:rPr>
        <w:footnoteReference w:id="8"/>
      </w:r>
      <w:r w:rsidRPr="00DD1ECB">
        <w:rPr>
          <w:rFonts w:ascii="Times New Roman" w:hAnsi="Times New Roman"/>
          <w:noProof/>
          <w:sz w:val="24"/>
          <w:szCs w:val="24"/>
          <w:lang w:eastAsia="ru-RU"/>
        </w:rPr>
        <w:t xml:space="preserve"> гг</w:t>
      </w:r>
      <w:r>
        <w:rPr>
          <w:rFonts w:ascii="Times New Roman" w:hAnsi="Times New Roman"/>
          <w:noProof/>
          <w:sz w:val="24"/>
          <w:szCs w:val="24"/>
          <w:lang w:eastAsia="ru-RU"/>
        </w:rPr>
        <w:t>.</w:t>
      </w:r>
    </w:p>
    <w:p w:rsidR="00A22665" w:rsidRDefault="00A22665" w:rsidP="00A22665">
      <w:pPr>
        <w:spacing w:line="360" w:lineRule="auto"/>
        <w:ind w:firstLine="709"/>
        <w:jc w:val="center"/>
        <w:rPr>
          <w:rFonts w:ascii="Times New Roman" w:hAnsi="Times New Roman"/>
          <w:noProof/>
          <w:sz w:val="28"/>
          <w:szCs w:val="28"/>
          <w:lang w:eastAsia="ru-RU"/>
        </w:rPr>
      </w:pPr>
      <w:r>
        <w:rPr>
          <w:noProof/>
          <w:lang w:eastAsia="ru-RU"/>
        </w:rPr>
        <w:drawing>
          <wp:inline distT="0" distB="0" distL="0" distR="0" wp14:anchorId="50F85AA3" wp14:editId="62BA0378">
            <wp:extent cx="4954772" cy="2346252"/>
            <wp:effectExtent l="0" t="0" r="0" b="0"/>
            <wp:docPr id="8"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2665" w:rsidRDefault="00A22665" w:rsidP="00A22665">
      <w:pPr>
        <w:spacing w:line="360" w:lineRule="auto"/>
        <w:ind w:firstLine="709"/>
        <w:jc w:val="center"/>
        <w:rPr>
          <w:rFonts w:ascii="Times New Roman" w:hAnsi="Times New Roman"/>
          <w:noProof/>
          <w:sz w:val="24"/>
          <w:szCs w:val="24"/>
          <w:lang w:val="en-GB" w:eastAsia="ru-RU"/>
        </w:rPr>
      </w:pPr>
    </w:p>
    <w:p w:rsidR="00A22665" w:rsidRDefault="00A22665" w:rsidP="00A22665">
      <w:pPr>
        <w:spacing w:line="360" w:lineRule="auto"/>
        <w:ind w:firstLine="709"/>
        <w:jc w:val="center"/>
        <w:rPr>
          <w:rFonts w:ascii="Times New Roman" w:hAnsi="Times New Roman"/>
          <w:noProof/>
          <w:sz w:val="24"/>
          <w:szCs w:val="24"/>
          <w:lang w:val="en-GB" w:eastAsia="ru-RU"/>
        </w:rPr>
      </w:pPr>
    </w:p>
    <w:p w:rsidR="00A22665" w:rsidRDefault="00A22665" w:rsidP="00A22665">
      <w:pPr>
        <w:spacing w:line="360" w:lineRule="auto"/>
        <w:ind w:firstLine="709"/>
        <w:jc w:val="center"/>
        <w:rPr>
          <w:rFonts w:ascii="Times New Roman" w:hAnsi="Times New Roman"/>
          <w:noProof/>
          <w:sz w:val="24"/>
          <w:szCs w:val="24"/>
          <w:lang w:val="en-GB" w:eastAsia="ru-RU"/>
        </w:rPr>
      </w:pPr>
    </w:p>
    <w:p w:rsidR="00A22665" w:rsidRDefault="00A22665" w:rsidP="00A22665">
      <w:pPr>
        <w:spacing w:line="360" w:lineRule="auto"/>
        <w:ind w:firstLine="709"/>
        <w:jc w:val="center"/>
        <w:rPr>
          <w:rFonts w:ascii="Times New Roman" w:hAnsi="Times New Roman"/>
          <w:noProof/>
          <w:sz w:val="24"/>
          <w:szCs w:val="24"/>
          <w:lang w:val="en-GB" w:eastAsia="ru-RU"/>
        </w:rPr>
      </w:pPr>
    </w:p>
    <w:p w:rsidR="00A22665" w:rsidRDefault="00A22665" w:rsidP="00A22665">
      <w:pPr>
        <w:spacing w:line="360" w:lineRule="auto"/>
        <w:ind w:firstLine="709"/>
        <w:jc w:val="center"/>
        <w:rPr>
          <w:rFonts w:ascii="Times New Roman" w:hAnsi="Times New Roman"/>
          <w:noProof/>
          <w:sz w:val="24"/>
          <w:szCs w:val="24"/>
          <w:lang w:val="en-GB" w:eastAsia="ru-RU"/>
        </w:rPr>
      </w:pPr>
    </w:p>
    <w:p w:rsidR="00A22665" w:rsidRDefault="00A22665" w:rsidP="00A22665">
      <w:pPr>
        <w:spacing w:line="360" w:lineRule="auto"/>
        <w:ind w:firstLine="709"/>
        <w:jc w:val="center"/>
        <w:rPr>
          <w:rFonts w:ascii="Times New Roman" w:hAnsi="Times New Roman"/>
          <w:noProof/>
          <w:sz w:val="24"/>
          <w:szCs w:val="24"/>
          <w:lang w:val="en-GB" w:eastAsia="ru-RU"/>
        </w:rPr>
      </w:pPr>
    </w:p>
    <w:p w:rsidR="00A22665" w:rsidRPr="00595E91" w:rsidRDefault="00A22665" w:rsidP="00A22665">
      <w:pPr>
        <w:spacing w:line="360" w:lineRule="auto"/>
        <w:ind w:firstLine="709"/>
        <w:jc w:val="center"/>
        <w:rPr>
          <w:rFonts w:ascii="Times New Roman" w:hAnsi="Times New Roman"/>
          <w:noProof/>
          <w:sz w:val="24"/>
          <w:szCs w:val="24"/>
          <w:lang w:eastAsia="ru-RU"/>
        </w:rPr>
      </w:pPr>
      <w:r w:rsidRPr="00595E91">
        <w:rPr>
          <w:rFonts w:ascii="Times New Roman" w:hAnsi="Times New Roman"/>
          <w:noProof/>
          <w:sz w:val="24"/>
          <w:szCs w:val="24"/>
          <w:lang w:eastAsia="ru-RU"/>
        </w:rPr>
        <w:t>Рис. 7. Активы ПФ ЕС в 4</w:t>
      </w:r>
      <w:r w:rsidRPr="00595E91">
        <w:rPr>
          <w:rFonts w:ascii="Times New Roman" w:hAnsi="Times New Roman"/>
          <w:noProof/>
          <w:sz w:val="24"/>
          <w:szCs w:val="24"/>
          <w:lang w:val="en-US" w:eastAsia="ru-RU"/>
        </w:rPr>
        <w:t>Q</w:t>
      </w:r>
      <w:r w:rsidRPr="00595E91">
        <w:rPr>
          <w:rFonts w:ascii="Times New Roman" w:hAnsi="Times New Roman"/>
          <w:noProof/>
          <w:sz w:val="24"/>
          <w:szCs w:val="24"/>
          <w:lang w:eastAsia="ru-RU"/>
        </w:rPr>
        <w:t xml:space="preserve"> 2014, € млрд</w:t>
      </w:r>
      <w:r>
        <w:rPr>
          <w:rStyle w:val="a7"/>
          <w:rFonts w:ascii="Times New Roman" w:hAnsi="Times New Roman"/>
          <w:noProof/>
          <w:sz w:val="24"/>
          <w:szCs w:val="24"/>
          <w:lang w:eastAsia="ru-RU"/>
        </w:rPr>
        <w:footnoteReference w:id="9"/>
      </w:r>
      <w:r w:rsidRPr="00595E91">
        <w:rPr>
          <w:rFonts w:ascii="Times New Roman" w:hAnsi="Times New Roman"/>
          <w:noProof/>
          <w:sz w:val="24"/>
          <w:szCs w:val="24"/>
          <w:lang w:eastAsia="ru-RU"/>
        </w:rPr>
        <w:t>.</w:t>
      </w:r>
    </w:p>
    <w:p w:rsidR="00A22665" w:rsidRDefault="00A22665" w:rsidP="00A22665">
      <w:pPr>
        <w:spacing w:line="360" w:lineRule="auto"/>
        <w:ind w:firstLine="709"/>
        <w:jc w:val="cente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14:anchorId="0D840F83" wp14:editId="1E53C359">
            <wp:extent cx="4572000" cy="2133600"/>
            <wp:effectExtent l="0" t="0" r="0" b="0"/>
            <wp:docPr id="1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2665" w:rsidRPr="00595E91" w:rsidRDefault="00A22665" w:rsidP="00A22665">
      <w:pPr>
        <w:spacing w:line="360" w:lineRule="auto"/>
        <w:ind w:firstLine="709"/>
        <w:jc w:val="center"/>
        <w:rPr>
          <w:rFonts w:ascii="Times New Roman" w:hAnsi="Times New Roman"/>
          <w:noProof/>
          <w:sz w:val="24"/>
          <w:szCs w:val="24"/>
          <w:lang w:eastAsia="ru-RU"/>
        </w:rPr>
      </w:pPr>
      <w:r w:rsidRPr="00595E91">
        <w:rPr>
          <w:rFonts w:ascii="Times New Roman" w:hAnsi="Times New Roman"/>
          <w:noProof/>
          <w:sz w:val="24"/>
          <w:szCs w:val="24"/>
          <w:lang w:eastAsia="ru-RU"/>
        </w:rPr>
        <w:t>Рис. 8. Альтернативные активы, в $ трлн</w:t>
      </w:r>
      <w:r>
        <w:rPr>
          <w:rStyle w:val="a7"/>
          <w:rFonts w:ascii="Times New Roman" w:hAnsi="Times New Roman"/>
          <w:noProof/>
          <w:sz w:val="24"/>
          <w:szCs w:val="24"/>
          <w:lang w:eastAsia="ru-RU"/>
        </w:rPr>
        <w:footnoteReference w:id="10"/>
      </w:r>
      <w:r w:rsidRPr="00595E91">
        <w:rPr>
          <w:rFonts w:ascii="Times New Roman" w:hAnsi="Times New Roman"/>
          <w:noProof/>
          <w:sz w:val="24"/>
          <w:szCs w:val="24"/>
          <w:lang w:eastAsia="ru-RU"/>
        </w:rPr>
        <w:t>.</w:t>
      </w:r>
    </w:p>
    <w:p w:rsidR="00A22665" w:rsidRDefault="00A22665" w:rsidP="00A22665">
      <w:pPr>
        <w:spacing w:line="360" w:lineRule="auto"/>
        <w:ind w:firstLine="709"/>
        <w:jc w:val="center"/>
        <w:rPr>
          <w:rFonts w:ascii="Times New Roman" w:hAnsi="Times New Roman"/>
          <w:noProof/>
          <w:sz w:val="28"/>
          <w:szCs w:val="28"/>
          <w:lang w:eastAsia="ru-RU"/>
        </w:rPr>
      </w:pPr>
      <w:r>
        <w:rPr>
          <w:noProof/>
          <w:lang w:eastAsia="ru-RU"/>
        </w:rPr>
        <w:drawing>
          <wp:inline distT="0" distB="0" distL="0" distR="0" wp14:anchorId="19447B68" wp14:editId="733F1181">
            <wp:extent cx="5734493" cy="2027274"/>
            <wp:effectExtent l="0" t="0" r="0" b="0"/>
            <wp:docPr id="1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Таким образом, количественное смягчение, во-первых, стимулирует дальнейшее снижение процентных ставок; во-вторых, подталкивает фонды вкладываться в более доходные, а значит, и более рисковые активы, чтобы выполнить свои обязательства перед участниками; в-третьих, может привести к появлению пузырей на фондовом рынке и рынке альтернативных инвестиций (в т.ч. из-за наплыва дешевого капитала из суверенных азиатских фондов), что вызовет катастрофические последствия для пенсионных фондов в случае масштабного ухудшения рыночной конъюнктуры. </w:t>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lastRenderedPageBreak/>
        <w:t>В сложившейся ситуации пенсионные фонды могут сделать не так уж и много, чтобы не поставить под удар выполнение обязательств перед своими участниками в среднесрочной перспективе</w:t>
      </w:r>
      <w:r w:rsidRPr="000C0F7A">
        <w:rPr>
          <w:rStyle w:val="a7"/>
          <w:rFonts w:ascii="Times New Roman" w:hAnsi="Times New Roman"/>
          <w:noProof/>
          <w:sz w:val="27"/>
          <w:szCs w:val="27"/>
          <w:lang w:eastAsia="ru-RU"/>
        </w:rPr>
        <w:footnoteReference w:id="11"/>
      </w:r>
      <w:r w:rsidRPr="000C0F7A">
        <w:rPr>
          <w:rFonts w:ascii="Times New Roman" w:hAnsi="Times New Roman"/>
          <w:noProof/>
          <w:sz w:val="27"/>
          <w:szCs w:val="27"/>
          <w:lang w:eastAsia="ru-RU"/>
        </w:rPr>
        <w:t>:</w:t>
      </w:r>
    </w:p>
    <w:p w:rsidR="00A22665" w:rsidRPr="000C0F7A" w:rsidRDefault="00A22665" w:rsidP="00A22665">
      <w:pPr>
        <w:numPr>
          <w:ilvl w:val="0"/>
          <w:numId w:val="1"/>
        </w:numPr>
        <w:spacing w:after="0" w:line="360" w:lineRule="auto"/>
        <w:ind w:left="0" w:firstLine="709"/>
        <w:jc w:val="both"/>
        <w:rPr>
          <w:rFonts w:ascii="Times New Roman" w:hAnsi="Times New Roman"/>
          <w:noProof/>
          <w:sz w:val="27"/>
          <w:szCs w:val="27"/>
          <w:lang w:eastAsia="ru-RU"/>
        </w:rPr>
      </w:pPr>
      <w:r w:rsidRPr="000C0F7A">
        <w:rPr>
          <w:rFonts w:ascii="Times New Roman" w:hAnsi="Times New Roman"/>
          <w:i/>
          <w:noProof/>
          <w:sz w:val="27"/>
          <w:szCs w:val="27"/>
          <w:lang w:eastAsia="ru-RU"/>
        </w:rPr>
        <w:t>Хеджирование рисков процентной ставки и инфляции:</w:t>
      </w:r>
      <w:r w:rsidRPr="000C0F7A">
        <w:rPr>
          <w:rFonts w:ascii="Times New Roman" w:hAnsi="Times New Roman"/>
          <w:noProof/>
          <w:sz w:val="27"/>
          <w:szCs w:val="27"/>
          <w:lang w:eastAsia="ru-RU"/>
        </w:rPr>
        <w:t xml:space="preserve"> решение ряда фондов воспользоваться данным инструментарием выглядит благоразумным: так, хеджирование британскими фондами риска процентных ставок выросло на 26% (до €31,6 млрд.), а хеджирование риска инфляции теми же фондами выросло на 2% (до €23,7 млрд.). В обозримом будущем ожидается дальнейший рост страхования по данным видам риска;</w:t>
      </w:r>
    </w:p>
    <w:p w:rsidR="00A22665" w:rsidRPr="000C0F7A" w:rsidRDefault="00A22665" w:rsidP="00A22665">
      <w:pPr>
        <w:numPr>
          <w:ilvl w:val="0"/>
          <w:numId w:val="1"/>
        </w:numPr>
        <w:spacing w:after="0" w:line="360" w:lineRule="auto"/>
        <w:ind w:left="0" w:firstLine="709"/>
        <w:jc w:val="both"/>
        <w:rPr>
          <w:rFonts w:ascii="Times New Roman" w:hAnsi="Times New Roman"/>
          <w:noProof/>
          <w:sz w:val="27"/>
          <w:szCs w:val="27"/>
          <w:lang w:eastAsia="ru-RU"/>
        </w:rPr>
      </w:pPr>
      <w:r w:rsidRPr="000C0F7A">
        <w:rPr>
          <w:rFonts w:ascii="Times New Roman" w:hAnsi="Times New Roman"/>
          <w:i/>
          <w:noProof/>
          <w:sz w:val="27"/>
          <w:szCs w:val="27"/>
          <w:lang w:eastAsia="ru-RU"/>
        </w:rPr>
        <w:t xml:space="preserve">Хеджирование риска продолжительности жизни: </w:t>
      </w:r>
      <w:r w:rsidRPr="000C0F7A">
        <w:rPr>
          <w:rFonts w:ascii="Times New Roman" w:hAnsi="Times New Roman"/>
          <w:noProof/>
          <w:sz w:val="27"/>
          <w:szCs w:val="27"/>
          <w:lang w:eastAsia="ru-RU"/>
        </w:rPr>
        <w:t>риск роста обязательств фондов в следствие роста продолжительности жизни хеджируется посредством свопов продолжительности жизни</w:t>
      </w:r>
      <w:r w:rsidRPr="000C0F7A">
        <w:rPr>
          <w:rStyle w:val="a7"/>
          <w:rFonts w:ascii="Times New Roman" w:hAnsi="Times New Roman"/>
          <w:noProof/>
          <w:sz w:val="27"/>
          <w:szCs w:val="27"/>
          <w:lang w:eastAsia="ru-RU"/>
        </w:rPr>
        <w:footnoteReference w:id="12"/>
      </w:r>
      <w:r w:rsidRPr="000C0F7A">
        <w:rPr>
          <w:rFonts w:ascii="Times New Roman" w:hAnsi="Times New Roman"/>
          <w:noProof/>
          <w:sz w:val="27"/>
          <w:szCs w:val="27"/>
          <w:lang w:eastAsia="ru-RU"/>
        </w:rPr>
        <w:t xml:space="preserve"> (</w:t>
      </w:r>
      <w:r w:rsidRPr="000C0F7A">
        <w:rPr>
          <w:rFonts w:ascii="Times New Roman" w:hAnsi="Times New Roman"/>
          <w:noProof/>
          <w:sz w:val="27"/>
          <w:szCs w:val="27"/>
          <w:lang w:val="en-US" w:eastAsia="ru-RU"/>
        </w:rPr>
        <w:t>longevity</w:t>
      </w:r>
      <w:r w:rsidRPr="000C0F7A">
        <w:rPr>
          <w:rFonts w:ascii="Times New Roman" w:hAnsi="Times New Roman"/>
          <w:noProof/>
          <w:sz w:val="27"/>
          <w:szCs w:val="27"/>
          <w:lang w:eastAsia="ru-RU"/>
        </w:rPr>
        <w:t xml:space="preserve"> </w:t>
      </w:r>
      <w:r w:rsidRPr="000C0F7A">
        <w:rPr>
          <w:rFonts w:ascii="Times New Roman" w:hAnsi="Times New Roman"/>
          <w:noProof/>
          <w:sz w:val="27"/>
          <w:szCs w:val="27"/>
          <w:lang w:val="en-US" w:eastAsia="ru-RU"/>
        </w:rPr>
        <w:t>swaps</w:t>
      </w:r>
      <w:r w:rsidRPr="000C0F7A">
        <w:rPr>
          <w:rFonts w:ascii="Times New Roman" w:hAnsi="Times New Roman"/>
          <w:noProof/>
          <w:sz w:val="27"/>
          <w:szCs w:val="27"/>
          <w:lang w:eastAsia="ru-RU"/>
        </w:rPr>
        <w:t xml:space="preserve">). С 2009 года рынок таких свопов в Великобритании вырос более, чем на £50 млрд. Недавний опрос британских пенсионных фондов показал, что в ближайшие 5 лет половина из них собирается прибегнуть к инструментам страхования, в т.ч. посредством </w:t>
      </w:r>
      <w:r w:rsidRPr="000C0F7A">
        <w:rPr>
          <w:rFonts w:ascii="Times New Roman" w:hAnsi="Times New Roman"/>
          <w:noProof/>
          <w:sz w:val="27"/>
          <w:szCs w:val="27"/>
          <w:lang w:val="en-US" w:eastAsia="ru-RU"/>
        </w:rPr>
        <w:t>longevity</w:t>
      </w:r>
      <w:r w:rsidRPr="000C0F7A">
        <w:rPr>
          <w:rFonts w:ascii="Times New Roman" w:hAnsi="Times New Roman"/>
          <w:noProof/>
          <w:sz w:val="27"/>
          <w:szCs w:val="27"/>
          <w:lang w:eastAsia="ru-RU"/>
        </w:rPr>
        <w:t xml:space="preserve"> </w:t>
      </w:r>
      <w:r w:rsidRPr="000C0F7A">
        <w:rPr>
          <w:rFonts w:ascii="Times New Roman" w:hAnsi="Times New Roman"/>
          <w:noProof/>
          <w:sz w:val="27"/>
          <w:szCs w:val="27"/>
          <w:lang w:val="en-US" w:eastAsia="ru-RU"/>
        </w:rPr>
        <w:t>swaps</w:t>
      </w:r>
      <w:r w:rsidRPr="000C0F7A">
        <w:rPr>
          <w:rFonts w:ascii="Times New Roman" w:hAnsi="Times New Roman"/>
          <w:noProof/>
          <w:sz w:val="27"/>
          <w:szCs w:val="27"/>
          <w:lang w:eastAsia="ru-RU"/>
        </w:rPr>
        <w:t>;</w:t>
      </w:r>
    </w:p>
    <w:p w:rsidR="00A22665" w:rsidRPr="000C0F7A" w:rsidRDefault="00A22665" w:rsidP="00A22665">
      <w:pPr>
        <w:numPr>
          <w:ilvl w:val="0"/>
          <w:numId w:val="1"/>
        </w:numPr>
        <w:spacing w:after="0" w:line="360" w:lineRule="auto"/>
        <w:ind w:left="0" w:firstLine="709"/>
        <w:jc w:val="both"/>
        <w:rPr>
          <w:rFonts w:ascii="Times New Roman" w:hAnsi="Times New Roman"/>
          <w:noProof/>
          <w:sz w:val="27"/>
          <w:szCs w:val="27"/>
          <w:lang w:eastAsia="ru-RU"/>
        </w:rPr>
      </w:pPr>
      <w:r w:rsidRPr="000C0F7A">
        <w:rPr>
          <w:rFonts w:ascii="Times New Roman" w:hAnsi="Times New Roman"/>
          <w:i/>
          <w:noProof/>
          <w:sz w:val="27"/>
          <w:szCs w:val="27"/>
          <w:lang w:eastAsia="ru-RU"/>
        </w:rPr>
        <w:t>Покупка аннуитета у страховой компании</w:t>
      </w:r>
      <w:r w:rsidRPr="000C0F7A">
        <w:rPr>
          <w:rFonts w:ascii="Times New Roman" w:hAnsi="Times New Roman"/>
          <w:noProof/>
          <w:sz w:val="27"/>
          <w:szCs w:val="27"/>
          <w:lang w:eastAsia="ru-RU"/>
        </w:rPr>
        <w:t xml:space="preserve"> посредством фактической передачи контроля над пенсионными обязательствами третьей стороне является, пожалуй, последним способом спасения пенсионных средств участников, т.к. подразумевает фактическую ликвидацию фонда. </w:t>
      </w:r>
    </w:p>
    <w:p w:rsidR="00A22665" w:rsidRPr="000C0F7A"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Таким образом, изменение внешних условий функционирования вынуждает пенсионные фонды диверсифицировать инвестиционный портфель и принимать более высокие риски, для хеджирования которых используются сложные производные инструменты. В результате инвестиционная экспертиза пенсионных фондов становится более профессиональной, что должно положительно сказаться на доходности пенсионных портфелей. Кроме того, инвестируя в альтернативные инструменты, пенсионные фонды, в отличае от финансовых спекулянтов, формируют и поддерживают устойчивый спрос на активы (не только финансовые, но </w:t>
      </w:r>
      <w:r w:rsidRPr="000C0F7A">
        <w:rPr>
          <w:rFonts w:ascii="Times New Roman" w:hAnsi="Times New Roman"/>
          <w:noProof/>
          <w:sz w:val="27"/>
          <w:szCs w:val="27"/>
          <w:lang w:eastAsia="ru-RU"/>
        </w:rPr>
        <w:lastRenderedPageBreak/>
        <w:t xml:space="preserve">и реальные), что в перспективе может оказать стимулирующее воздействие на экономический рост. </w:t>
      </w:r>
    </w:p>
    <w:p w:rsidR="00A22665" w:rsidRDefault="00A22665" w:rsidP="00A22665">
      <w:pPr>
        <w:spacing w:after="0" w:line="360" w:lineRule="auto"/>
        <w:ind w:firstLine="709"/>
        <w:jc w:val="both"/>
        <w:rPr>
          <w:rFonts w:ascii="Times New Roman" w:hAnsi="Times New Roman"/>
          <w:noProof/>
          <w:sz w:val="27"/>
          <w:szCs w:val="27"/>
          <w:lang w:eastAsia="ru-RU"/>
        </w:rPr>
      </w:pPr>
      <w:r w:rsidRPr="000C0F7A">
        <w:rPr>
          <w:rFonts w:ascii="Times New Roman" w:hAnsi="Times New Roman"/>
          <w:noProof/>
          <w:sz w:val="27"/>
          <w:szCs w:val="27"/>
          <w:lang w:eastAsia="ru-RU"/>
        </w:rPr>
        <w:t xml:space="preserve">В связи с тем, что расширение масштабов деятельности пенсионных фондов связано с повышением уровня риска, существенное внимание как регуляторов, так и участников рынка уделяется вопросам совершенствования систем риск-менеджмента. В качестве лучшей мировой практики рассматривается риск-ориентированное управление активами, которое позволяет оперативно и комплексно реагировать на разнообразные вызовы внешней среды. </w:t>
      </w: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A22665" w:rsidRPr="000B2F5F" w:rsidRDefault="00A22665" w:rsidP="00A22665">
      <w:pPr>
        <w:jc w:val="center"/>
        <w:rPr>
          <w:rFonts w:ascii="Times New Roman" w:eastAsia="Times New Roman" w:hAnsi="Times New Roman" w:cs="Times New Roman"/>
          <w:snapToGrid w:val="0"/>
          <w:color w:val="000000"/>
          <w:w w:val="0"/>
          <w:sz w:val="2"/>
          <w:szCs w:val="0"/>
          <w:u w:color="000000"/>
          <w:bdr w:val="none" w:sz="0" w:space="0" w:color="000000"/>
          <w:shd w:val="clear" w:color="000000" w:fill="000000"/>
          <w:lang w:eastAsia="x-none" w:bidi="x-none"/>
        </w:rPr>
      </w:pPr>
      <w:r w:rsidRPr="000B2F5F">
        <w:rPr>
          <w:rFonts w:ascii="Times New Roman" w:hAnsi="Times New Roman" w:cs="Times New Roman"/>
          <w:b/>
          <w:sz w:val="28"/>
        </w:rPr>
        <w:lastRenderedPageBreak/>
        <w:t>Равновесный подход к определению соотношения риск-доходность в условиях кризиса</w:t>
      </w:r>
      <w:r w:rsidRPr="000B2F5F">
        <w:rPr>
          <w:rFonts w:ascii="Times New Roman" w:eastAsia="Times New Roman" w:hAnsi="Times New Roman" w:cs="Times New Roman"/>
          <w:snapToGrid w:val="0"/>
          <w:color w:val="000000"/>
          <w:w w:val="0"/>
          <w:sz w:val="2"/>
          <w:szCs w:val="0"/>
          <w:u w:color="000000"/>
          <w:bdr w:val="none" w:sz="0" w:space="0" w:color="000000"/>
          <w:shd w:val="clear" w:color="000000" w:fill="000000"/>
          <w:lang w:val="x-none" w:eastAsia="x-none" w:bidi="x-none"/>
        </w:rPr>
        <w:t xml:space="preserve"> </w:t>
      </w:r>
    </w:p>
    <w:p w:rsidR="00A22665" w:rsidRPr="000B2F5F" w:rsidRDefault="00A22665" w:rsidP="00A2266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22665" w:rsidRPr="000B2F5F" w:rsidRDefault="00A22665" w:rsidP="00A2266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22665" w:rsidRPr="000B2F5F" w:rsidRDefault="00A22665" w:rsidP="00A22665">
      <w:pPr>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A22665" w:rsidRPr="000B2F5F" w:rsidRDefault="00A22665" w:rsidP="00A22665">
      <w:pPr>
        <w:jc w:val="right"/>
        <w:rPr>
          <w:rFonts w:ascii="Times New Roman" w:hAnsi="Times New Roman" w:cs="Times New Roman"/>
          <w:b/>
          <w:sz w:val="24"/>
        </w:rPr>
      </w:pPr>
      <w:r>
        <w:rPr>
          <w:rFonts w:ascii="Times New Roman" w:hAnsi="Times New Roman" w:cs="Times New Roman"/>
          <w:b/>
          <w:noProof/>
          <w:sz w:val="24"/>
          <w:lang w:eastAsia="ru-RU"/>
        </w:rPr>
        <w:drawing>
          <wp:inline distT="0" distB="0" distL="0" distR="0" wp14:anchorId="03DED9EB" wp14:editId="175AB270">
            <wp:extent cx="937808" cy="1217705"/>
            <wp:effectExtent l="0" t="0" r="0" b="1905"/>
            <wp:docPr id="12" name="Рисунок 12" descr="C:\Users\AKomarov\Desktop\Журнал новый номер\Номер 24(4)\Фото Сметан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4(4)\Фото Сметанин.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37867" cy="1217781"/>
                    </a:xfrm>
                    <a:prstGeom prst="rect">
                      <a:avLst/>
                    </a:prstGeom>
                    <a:noFill/>
                    <a:ln>
                      <a:noFill/>
                    </a:ln>
                  </pic:spPr>
                </pic:pic>
              </a:graphicData>
            </a:graphic>
          </wp:inline>
        </w:drawing>
      </w:r>
    </w:p>
    <w:p w:rsidR="00A22665" w:rsidRPr="00FF4CDD" w:rsidRDefault="00A22665" w:rsidP="00A22665">
      <w:pPr>
        <w:rPr>
          <w:rFonts w:ascii="Times New Roman" w:hAnsi="Times New Roman" w:cs="Times New Roman"/>
          <w:b/>
          <w:sz w:val="24"/>
        </w:rPr>
      </w:pPr>
    </w:p>
    <w:p w:rsidR="00A22665" w:rsidRPr="00FF4CDD" w:rsidRDefault="00A22665" w:rsidP="00A22665">
      <w:pPr>
        <w:jc w:val="right"/>
        <w:rPr>
          <w:rFonts w:ascii="Times New Roman" w:hAnsi="Times New Roman" w:cs="Times New Roman"/>
          <w:i/>
          <w:sz w:val="24"/>
        </w:rPr>
      </w:pPr>
      <w:r w:rsidRPr="00FF4CDD">
        <w:rPr>
          <w:rFonts w:ascii="Times New Roman" w:hAnsi="Times New Roman" w:cs="Times New Roman"/>
          <w:i/>
          <w:sz w:val="24"/>
        </w:rPr>
        <w:t xml:space="preserve">Александр </w:t>
      </w:r>
      <w:proofErr w:type="spellStart"/>
      <w:r w:rsidRPr="00FF4CDD">
        <w:rPr>
          <w:rFonts w:ascii="Times New Roman" w:hAnsi="Times New Roman" w:cs="Times New Roman"/>
          <w:i/>
          <w:sz w:val="24"/>
        </w:rPr>
        <w:t>Сметанин</w:t>
      </w:r>
      <w:proofErr w:type="spellEnd"/>
      <w:r w:rsidRPr="00FF4CDD">
        <w:rPr>
          <w:rFonts w:ascii="Times New Roman" w:hAnsi="Times New Roman" w:cs="Times New Roman"/>
          <w:i/>
          <w:sz w:val="24"/>
        </w:rPr>
        <w:br/>
        <w:t xml:space="preserve">Директор департамента </w:t>
      </w:r>
      <w:proofErr w:type="gramStart"/>
      <w:r w:rsidRPr="00FF4CDD">
        <w:rPr>
          <w:rFonts w:ascii="Times New Roman" w:hAnsi="Times New Roman" w:cs="Times New Roman"/>
          <w:i/>
          <w:sz w:val="24"/>
        </w:rPr>
        <w:t>риск-менеджмента</w:t>
      </w:r>
      <w:proofErr w:type="gramEnd"/>
      <w:r w:rsidRPr="00FF4CDD">
        <w:rPr>
          <w:rFonts w:ascii="Times New Roman" w:hAnsi="Times New Roman" w:cs="Times New Roman"/>
          <w:i/>
          <w:sz w:val="24"/>
        </w:rPr>
        <w:t xml:space="preserve"> </w:t>
      </w:r>
      <w:r w:rsidRPr="00FF4CDD">
        <w:rPr>
          <w:rFonts w:ascii="Times New Roman" w:hAnsi="Times New Roman" w:cs="Times New Roman"/>
          <w:i/>
          <w:sz w:val="24"/>
        </w:rPr>
        <w:br/>
        <w:t>НПФ электроэнергетики</w:t>
      </w:r>
    </w:p>
    <w:p w:rsidR="00A22665" w:rsidRPr="00FF4CDD" w:rsidRDefault="00A22665" w:rsidP="00A22665">
      <w:pPr>
        <w:jc w:val="right"/>
        <w:rPr>
          <w:rFonts w:ascii="Times New Roman" w:hAnsi="Times New Roman" w:cs="Times New Roman"/>
          <w:sz w:val="24"/>
        </w:rPr>
      </w:pPr>
    </w:p>
    <w:p w:rsidR="00A22665" w:rsidRPr="000B2F5F" w:rsidRDefault="00A22665" w:rsidP="00A22665">
      <w:pPr>
        <w:spacing w:after="0" w:line="360" w:lineRule="auto"/>
        <w:ind w:firstLine="709"/>
        <w:jc w:val="both"/>
        <w:rPr>
          <w:rFonts w:ascii="Times New Roman" w:hAnsi="Times New Roman" w:cs="Times New Roman"/>
          <w:sz w:val="27"/>
          <w:szCs w:val="27"/>
        </w:rPr>
      </w:pPr>
      <w:r w:rsidRPr="000B2F5F">
        <w:rPr>
          <w:rFonts w:ascii="Times New Roman" w:hAnsi="Times New Roman" w:cs="Times New Roman"/>
          <w:sz w:val="27"/>
          <w:szCs w:val="27"/>
        </w:rPr>
        <w:t>Во время проверок, проводившихся в негосударственных фондах, регулятор уделял особое внимание соответствию доходности инвестиций уровню принимаемого риска. Однако если для доходности, как правило, есть понятные всем объективные подходы к оценке, которые в основном описаны в нормативной базе, то регламентация оценки инвестиционных рисков для российского рынка пока находится в начальной стадии. Профессиональное сообщество, понимая необходимость унификации базовых принципов и основных подходов к оценке и управл</w:t>
      </w:r>
      <w:r>
        <w:rPr>
          <w:rFonts w:ascii="Times New Roman" w:hAnsi="Times New Roman" w:cs="Times New Roman"/>
          <w:sz w:val="27"/>
          <w:szCs w:val="27"/>
        </w:rPr>
        <w:t xml:space="preserve">ению рисками, а также с учетом </w:t>
      </w:r>
      <w:r w:rsidRPr="000B2F5F">
        <w:rPr>
          <w:rFonts w:ascii="Times New Roman" w:hAnsi="Times New Roman" w:cs="Times New Roman"/>
          <w:sz w:val="27"/>
          <w:szCs w:val="27"/>
        </w:rPr>
        <w:t xml:space="preserve">нормативно-информационного вектора развития систем </w:t>
      </w:r>
      <w:proofErr w:type="gramStart"/>
      <w:r w:rsidRPr="000B2F5F">
        <w:rPr>
          <w:rFonts w:ascii="Times New Roman" w:hAnsi="Times New Roman" w:cs="Times New Roman"/>
          <w:sz w:val="27"/>
          <w:szCs w:val="27"/>
        </w:rPr>
        <w:t>риск-менеджмента</w:t>
      </w:r>
      <w:proofErr w:type="gramEnd"/>
      <w:r w:rsidRPr="000B2F5F">
        <w:rPr>
          <w:rFonts w:ascii="Times New Roman" w:hAnsi="Times New Roman" w:cs="Times New Roman"/>
          <w:sz w:val="27"/>
          <w:szCs w:val="27"/>
        </w:rPr>
        <w:t xml:space="preserve">, обозначенного регулятором, на базе НАПФ летом 2012 года </w:t>
      </w:r>
      <w:r>
        <w:rPr>
          <w:rFonts w:ascii="Times New Roman" w:hAnsi="Times New Roman" w:cs="Times New Roman"/>
          <w:sz w:val="27"/>
          <w:szCs w:val="27"/>
        </w:rPr>
        <w:t>были подготовлены</w:t>
      </w:r>
      <w:r w:rsidRPr="000B2F5F">
        <w:rPr>
          <w:rFonts w:ascii="Times New Roman" w:hAnsi="Times New Roman" w:cs="Times New Roman"/>
          <w:sz w:val="27"/>
          <w:szCs w:val="27"/>
        </w:rPr>
        <w:t xml:space="preserve"> «Стандарты управления рисками для негосударственных пенсионных фондов РФ». </w:t>
      </w:r>
      <w:r>
        <w:rPr>
          <w:rFonts w:ascii="Times New Roman" w:hAnsi="Times New Roman" w:cs="Times New Roman"/>
          <w:sz w:val="27"/>
          <w:szCs w:val="27"/>
        </w:rPr>
        <w:t>П</w:t>
      </w:r>
      <w:r w:rsidRPr="000B2F5F">
        <w:rPr>
          <w:rFonts w:ascii="Times New Roman" w:hAnsi="Times New Roman" w:cs="Times New Roman"/>
          <w:sz w:val="27"/>
          <w:szCs w:val="27"/>
        </w:rPr>
        <w:t xml:space="preserve">ервоначальная версия стандартов затрагивала лишь инвестиционные риски и по большей части носила, скорее, справочный характер, описывая основные виды рисков и наиболее распространенные методы идентификации, оценки и управления ими. </w:t>
      </w:r>
      <w:r>
        <w:rPr>
          <w:rFonts w:ascii="Times New Roman" w:hAnsi="Times New Roman" w:cs="Times New Roman"/>
          <w:sz w:val="27"/>
          <w:szCs w:val="27"/>
        </w:rPr>
        <w:t xml:space="preserve">В начале июня текущего года </w:t>
      </w:r>
      <w:r w:rsidRPr="000B2F5F">
        <w:rPr>
          <w:rFonts w:ascii="Times New Roman" w:hAnsi="Times New Roman" w:cs="Times New Roman"/>
          <w:sz w:val="27"/>
          <w:szCs w:val="27"/>
        </w:rPr>
        <w:t>усилиям</w:t>
      </w:r>
      <w:r>
        <w:rPr>
          <w:rFonts w:ascii="Times New Roman" w:hAnsi="Times New Roman" w:cs="Times New Roman"/>
          <w:sz w:val="27"/>
          <w:szCs w:val="27"/>
        </w:rPr>
        <w:t>и</w:t>
      </w:r>
      <w:r w:rsidRPr="000B2F5F">
        <w:rPr>
          <w:rFonts w:ascii="Times New Roman" w:hAnsi="Times New Roman" w:cs="Times New Roman"/>
          <w:sz w:val="27"/>
          <w:szCs w:val="27"/>
        </w:rPr>
        <w:t xml:space="preserve"> рабочей группы НАПФ </w:t>
      </w:r>
      <w:r>
        <w:rPr>
          <w:rFonts w:ascii="Times New Roman" w:hAnsi="Times New Roman" w:cs="Times New Roman"/>
          <w:sz w:val="27"/>
          <w:szCs w:val="27"/>
        </w:rPr>
        <w:t>был разработан и утвержден новый</w:t>
      </w:r>
      <w:r w:rsidRPr="000B2F5F">
        <w:rPr>
          <w:rFonts w:ascii="Times New Roman" w:hAnsi="Times New Roman" w:cs="Times New Roman"/>
          <w:sz w:val="27"/>
          <w:szCs w:val="27"/>
        </w:rPr>
        <w:t xml:space="preserve"> «Стандарт НАПФ по организации </w:t>
      </w:r>
      <w:proofErr w:type="gramStart"/>
      <w:r w:rsidRPr="000B2F5F">
        <w:rPr>
          <w:rFonts w:ascii="Times New Roman" w:hAnsi="Times New Roman" w:cs="Times New Roman"/>
          <w:sz w:val="27"/>
          <w:szCs w:val="27"/>
        </w:rPr>
        <w:t>риск-менеджмента</w:t>
      </w:r>
      <w:proofErr w:type="gramEnd"/>
      <w:r w:rsidRPr="000B2F5F">
        <w:rPr>
          <w:rFonts w:ascii="Times New Roman" w:hAnsi="Times New Roman" w:cs="Times New Roman"/>
          <w:sz w:val="27"/>
          <w:szCs w:val="27"/>
        </w:rPr>
        <w:t xml:space="preserve"> в НПФ» СТО НАПФ 5.1-2015. В новой редакции удалось описать уже не только инвестиционные, но практически все виды свойственных для индустрии рисков, включая операционные и актуарные. </w:t>
      </w:r>
      <w:r w:rsidRPr="000B2F5F">
        <w:rPr>
          <w:rFonts w:ascii="Times New Roman" w:hAnsi="Times New Roman" w:cs="Times New Roman"/>
          <w:sz w:val="27"/>
          <w:szCs w:val="27"/>
        </w:rPr>
        <w:lastRenderedPageBreak/>
        <w:t xml:space="preserve">Кроме того, в документе теперь представлены более четкие рекомендации по выстраиванию системы </w:t>
      </w:r>
      <w:proofErr w:type="gramStart"/>
      <w:r w:rsidRPr="000B2F5F">
        <w:rPr>
          <w:rFonts w:ascii="Times New Roman" w:hAnsi="Times New Roman" w:cs="Times New Roman"/>
          <w:sz w:val="27"/>
          <w:szCs w:val="27"/>
        </w:rPr>
        <w:t>риск-менеджмента</w:t>
      </w:r>
      <w:proofErr w:type="gramEnd"/>
      <w:r w:rsidRPr="000B2F5F">
        <w:rPr>
          <w:rFonts w:ascii="Times New Roman" w:hAnsi="Times New Roman" w:cs="Times New Roman"/>
          <w:sz w:val="27"/>
          <w:szCs w:val="27"/>
        </w:rPr>
        <w:t xml:space="preserve"> в фонде. Эти шаги позволили </w:t>
      </w:r>
      <w:proofErr w:type="spellStart"/>
      <w:r w:rsidRPr="000B2F5F">
        <w:rPr>
          <w:rFonts w:ascii="Times New Roman" w:hAnsi="Times New Roman" w:cs="Times New Roman"/>
          <w:sz w:val="27"/>
          <w:szCs w:val="27"/>
        </w:rPr>
        <w:t>профсообществу</w:t>
      </w:r>
      <w:proofErr w:type="spellEnd"/>
      <w:r w:rsidRPr="000B2F5F">
        <w:rPr>
          <w:rFonts w:ascii="Times New Roman" w:hAnsi="Times New Roman" w:cs="Times New Roman"/>
          <w:sz w:val="27"/>
          <w:szCs w:val="27"/>
        </w:rPr>
        <w:t xml:space="preserve"> заложить единую платформу для дальнейшего развития </w:t>
      </w:r>
      <w:proofErr w:type="gramStart"/>
      <w:r w:rsidRPr="000B2F5F">
        <w:rPr>
          <w:rFonts w:ascii="Times New Roman" w:hAnsi="Times New Roman" w:cs="Times New Roman"/>
          <w:sz w:val="27"/>
          <w:szCs w:val="27"/>
        </w:rPr>
        <w:t>риск-менеджмента</w:t>
      </w:r>
      <w:proofErr w:type="gramEnd"/>
      <w:r w:rsidRPr="000B2F5F">
        <w:rPr>
          <w:rFonts w:ascii="Times New Roman" w:hAnsi="Times New Roman" w:cs="Times New Roman"/>
          <w:sz w:val="27"/>
          <w:szCs w:val="27"/>
        </w:rPr>
        <w:t xml:space="preserve"> в индустрии.</w:t>
      </w:r>
    </w:p>
    <w:p w:rsidR="00A22665" w:rsidRPr="000B2F5F" w:rsidRDefault="00A22665" w:rsidP="00A22665">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Вместе с тем, </w:t>
      </w:r>
      <w:r w:rsidRPr="000B2F5F">
        <w:rPr>
          <w:rFonts w:ascii="Times New Roman" w:hAnsi="Times New Roman" w:cs="Times New Roman"/>
          <w:sz w:val="27"/>
          <w:szCs w:val="27"/>
        </w:rPr>
        <w:t>даже при условии унификации подходов к оценке рисков остается открытым вопрос упомянутого выше соответствия доходности принимаемому риску. В рамках рыночной экономики объективным мерилом адекватности соотношения риска и доходности для ценных бумаг призван быть фондовый рынок, пресловутая «невидимая рука рынка» Адама Смита. Аналогичным образом на конкурентном банковском рынке ставка депозита должна быть тем самым итоговым показателем, учитывающим все принимаемые риски, начиная от существенных условий договора, заканчивая кредитным качеством банка.</w:t>
      </w:r>
    </w:p>
    <w:p w:rsidR="00A22665" w:rsidRDefault="00A22665" w:rsidP="00A22665">
      <w:pPr>
        <w:spacing w:after="0" w:line="360" w:lineRule="auto"/>
        <w:ind w:firstLine="709"/>
        <w:jc w:val="both"/>
        <w:rPr>
          <w:rFonts w:ascii="Times New Roman" w:hAnsi="Times New Roman" w:cs="Times New Roman"/>
          <w:sz w:val="27"/>
          <w:szCs w:val="27"/>
        </w:rPr>
      </w:pPr>
      <w:r w:rsidRPr="000B2F5F">
        <w:rPr>
          <w:rFonts w:ascii="Times New Roman" w:hAnsi="Times New Roman" w:cs="Times New Roman"/>
          <w:sz w:val="27"/>
          <w:szCs w:val="27"/>
        </w:rPr>
        <w:t xml:space="preserve">С одной стороны, как бы парадоксально это не звучало, но не всегда для институционального инвестора локальный фондовый (и вообще финансовый) рынок является тем </w:t>
      </w:r>
      <w:proofErr w:type="spellStart"/>
      <w:r w:rsidRPr="000B2F5F">
        <w:rPr>
          <w:rFonts w:ascii="Times New Roman" w:hAnsi="Times New Roman" w:cs="Times New Roman"/>
          <w:sz w:val="27"/>
          <w:szCs w:val="27"/>
        </w:rPr>
        <w:t>sine</w:t>
      </w:r>
      <w:proofErr w:type="spellEnd"/>
      <w:r w:rsidRPr="000B2F5F">
        <w:rPr>
          <w:rFonts w:ascii="Times New Roman" w:hAnsi="Times New Roman" w:cs="Times New Roman"/>
          <w:sz w:val="27"/>
          <w:szCs w:val="27"/>
        </w:rPr>
        <w:t xml:space="preserve"> </w:t>
      </w:r>
      <w:proofErr w:type="spellStart"/>
      <w:r w:rsidRPr="000B2F5F">
        <w:rPr>
          <w:rFonts w:ascii="Times New Roman" w:hAnsi="Times New Roman" w:cs="Times New Roman"/>
          <w:sz w:val="27"/>
          <w:szCs w:val="27"/>
        </w:rPr>
        <w:t>qua</w:t>
      </w:r>
      <w:proofErr w:type="spellEnd"/>
      <w:r w:rsidRPr="000B2F5F">
        <w:rPr>
          <w:rFonts w:ascii="Times New Roman" w:hAnsi="Times New Roman" w:cs="Times New Roman"/>
          <w:sz w:val="27"/>
          <w:szCs w:val="27"/>
        </w:rPr>
        <w:t xml:space="preserve"> </w:t>
      </w:r>
      <w:proofErr w:type="spellStart"/>
      <w:r w:rsidRPr="000B2F5F">
        <w:rPr>
          <w:rFonts w:ascii="Times New Roman" w:hAnsi="Times New Roman" w:cs="Times New Roman"/>
          <w:sz w:val="27"/>
          <w:szCs w:val="27"/>
        </w:rPr>
        <w:t>non</w:t>
      </w:r>
      <w:proofErr w:type="spellEnd"/>
      <w:r w:rsidRPr="000B2F5F">
        <w:rPr>
          <w:rFonts w:ascii="Times New Roman" w:hAnsi="Times New Roman" w:cs="Times New Roman"/>
          <w:sz w:val="27"/>
          <w:szCs w:val="27"/>
        </w:rPr>
        <w:t>, без которого невозможна эффективная инвестиционная деятельность. Ведь в рамках инвестиционных возможностей (</w:t>
      </w:r>
      <w:r w:rsidRPr="000B2F5F">
        <w:rPr>
          <w:rFonts w:ascii="Times New Roman" w:hAnsi="Times New Roman" w:cs="Times New Roman"/>
          <w:sz w:val="27"/>
          <w:szCs w:val="27"/>
          <w:lang w:val="en-US"/>
        </w:rPr>
        <w:t>investment</w:t>
      </w:r>
      <w:r w:rsidRPr="000B2F5F">
        <w:rPr>
          <w:rFonts w:ascii="Times New Roman" w:hAnsi="Times New Roman" w:cs="Times New Roman"/>
          <w:sz w:val="27"/>
          <w:szCs w:val="27"/>
        </w:rPr>
        <w:t xml:space="preserve"> </w:t>
      </w:r>
      <w:r w:rsidRPr="000B2F5F">
        <w:rPr>
          <w:rFonts w:ascii="Times New Roman" w:hAnsi="Times New Roman" w:cs="Times New Roman"/>
          <w:sz w:val="27"/>
          <w:szCs w:val="27"/>
          <w:lang w:val="en-US"/>
        </w:rPr>
        <w:t>universe</w:t>
      </w:r>
      <w:r w:rsidRPr="000B2F5F">
        <w:rPr>
          <w:rFonts w:ascii="Times New Roman" w:hAnsi="Times New Roman" w:cs="Times New Roman"/>
          <w:sz w:val="27"/>
          <w:szCs w:val="27"/>
        </w:rPr>
        <w:t xml:space="preserve">) существует ряд альтернатив, которые необязательно в явном виде привязаны к нему. Это могут быть и внебиржевые инструменты денежного рынка, самым </w:t>
      </w:r>
      <w:r>
        <w:rPr>
          <w:rFonts w:ascii="Times New Roman" w:hAnsi="Times New Roman" w:cs="Times New Roman"/>
          <w:sz w:val="27"/>
          <w:szCs w:val="27"/>
        </w:rPr>
        <w:t>характерным</w:t>
      </w:r>
      <w:r w:rsidRPr="000B2F5F">
        <w:rPr>
          <w:rFonts w:ascii="Times New Roman" w:hAnsi="Times New Roman" w:cs="Times New Roman"/>
          <w:sz w:val="27"/>
          <w:szCs w:val="27"/>
        </w:rPr>
        <w:t xml:space="preserve"> примером которых являются банковские депозиты. </w:t>
      </w:r>
      <w:r>
        <w:rPr>
          <w:rFonts w:ascii="Times New Roman" w:hAnsi="Times New Roman" w:cs="Times New Roman"/>
          <w:sz w:val="27"/>
          <w:szCs w:val="27"/>
        </w:rPr>
        <w:t xml:space="preserve">Может </w:t>
      </w:r>
      <w:proofErr w:type="gramStart"/>
      <w:r>
        <w:rPr>
          <w:rFonts w:ascii="Times New Roman" w:hAnsi="Times New Roman" w:cs="Times New Roman"/>
          <w:sz w:val="27"/>
          <w:szCs w:val="27"/>
        </w:rPr>
        <w:t>быть</w:t>
      </w:r>
      <w:proofErr w:type="gramEnd"/>
      <w:r w:rsidRPr="000B2F5F">
        <w:rPr>
          <w:rFonts w:ascii="Times New Roman" w:hAnsi="Times New Roman" w:cs="Times New Roman"/>
          <w:sz w:val="27"/>
          <w:szCs w:val="27"/>
        </w:rPr>
        <w:t xml:space="preserve"> первичное обращение бумаг инвестиционных фондов, включая взаимные фонды (или в российской практике – паевые инвестиционные фонды), хедж-фонды, </w:t>
      </w:r>
      <w:r w:rsidRPr="000B2F5F">
        <w:rPr>
          <w:rFonts w:ascii="Times New Roman" w:hAnsi="Times New Roman" w:cs="Times New Roman"/>
          <w:sz w:val="27"/>
          <w:szCs w:val="27"/>
          <w:lang w:val="en-US"/>
        </w:rPr>
        <w:t>ETF</w:t>
      </w:r>
      <w:r w:rsidRPr="000B2F5F">
        <w:rPr>
          <w:rFonts w:ascii="Times New Roman" w:hAnsi="Times New Roman" w:cs="Times New Roman"/>
          <w:sz w:val="27"/>
          <w:szCs w:val="27"/>
        </w:rPr>
        <w:t xml:space="preserve">, которые сами по себе являясь в определенном смысле «транзитными» институтами, открывают доступ практически к любым видам инвестиций по всему миру, начиная от прямых инвестиций, заканчивая сложными комбинациями производных инструментов. В конце концов, когда локальный рынок не может обеспечить нужды инвестора, всегда есть возможность пойти на другие рынки. Примеров успешного инвестирования значительной доли пенсионных средств в иностранные ценные бумаги достаточно много, причем согласно специальному исследованию ОЭСР эмпирические данные подтвердили теоретические предположения о том, что </w:t>
      </w:r>
      <w:proofErr w:type="spellStart"/>
      <w:r w:rsidRPr="000B2F5F">
        <w:rPr>
          <w:rFonts w:ascii="Times New Roman" w:hAnsi="Times New Roman" w:cs="Times New Roman"/>
          <w:sz w:val="27"/>
          <w:szCs w:val="27"/>
        </w:rPr>
        <w:t>страновая</w:t>
      </w:r>
      <w:proofErr w:type="spellEnd"/>
      <w:r w:rsidRPr="000B2F5F">
        <w:rPr>
          <w:rFonts w:ascii="Times New Roman" w:hAnsi="Times New Roman" w:cs="Times New Roman"/>
          <w:sz w:val="27"/>
          <w:szCs w:val="27"/>
        </w:rPr>
        <w:t xml:space="preserve"> диверсификация позволяет существенно снизить несистематические инвестиционные риски.</w:t>
      </w:r>
    </w:p>
    <w:p w:rsidR="00A2266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spacing w:after="0" w:line="360" w:lineRule="auto"/>
        <w:ind w:firstLine="709"/>
        <w:jc w:val="both"/>
        <w:rPr>
          <w:rFonts w:ascii="Times New Roman" w:hAnsi="Times New Roman" w:cs="Times New Roman"/>
          <w:sz w:val="27"/>
          <w:szCs w:val="27"/>
        </w:rPr>
      </w:pPr>
    </w:p>
    <w:p w:rsidR="00A22665" w:rsidRPr="000B2F5F" w:rsidRDefault="00A22665" w:rsidP="00A22665">
      <w:pPr>
        <w:spacing w:after="0" w:line="360" w:lineRule="auto"/>
        <w:ind w:firstLine="709"/>
        <w:jc w:val="both"/>
        <w:rPr>
          <w:rFonts w:ascii="Times New Roman" w:hAnsi="Times New Roman" w:cs="Times New Roman"/>
          <w:sz w:val="27"/>
          <w:szCs w:val="27"/>
        </w:rPr>
      </w:pPr>
    </w:p>
    <w:p w:rsidR="00A22665" w:rsidRPr="00FF4CDD" w:rsidRDefault="00A22665" w:rsidP="00A22665">
      <w:pPr>
        <w:spacing w:after="0"/>
        <w:jc w:val="center"/>
        <w:rPr>
          <w:rFonts w:ascii="Times New Roman" w:hAnsi="Times New Roman" w:cs="Times New Roman"/>
          <w:b/>
          <w:sz w:val="24"/>
        </w:rPr>
      </w:pPr>
      <w:r w:rsidRPr="00FF4CDD">
        <w:rPr>
          <w:rFonts w:ascii="Times New Roman" w:hAnsi="Times New Roman" w:cs="Times New Roman"/>
          <w:b/>
          <w:sz w:val="24"/>
        </w:rPr>
        <w:t>Иностранные инвестиции пенсионных фондов из ряда стран ОЭСР, 2013</w:t>
      </w:r>
    </w:p>
    <w:p w:rsidR="00A22665" w:rsidRPr="00FF4CDD" w:rsidRDefault="00A22665" w:rsidP="00A22665">
      <w:pPr>
        <w:spacing w:after="0"/>
        <w:jc w:val="center"/>
        <w:rPr>
          <w:rFonts w:ascii="Times New Roman" w:hAnsi="Times New Roman" w:cs="Times New Roman"/>
          <w:sz w:val="24"/>
        </w:rPr>
      </w:pPr>
      <w:proofErr w:type="gramStart"/>
      <w:r w:rsidRPr="00FF4CDD">
        <w:rPr>
          <w:rFonts w:ascii="Times New Roman" w:hAnsi="Times New Roman" w:cs="Times New Roman"/>
          <w:sz w:val="24"/>
        </w:rPr>
        <w:t>в</w:t>
      </w:r>
      <w:proofErr w:type="gramEnd"/>
      <w:r w:rsidRPr="00FF4CDD">
        <w:rPr>
          <w:rFonts w:ascii="Times New Roman" w:hAnsi="Times New Roman" w:cs="Times New Roman"/>
          <w:sz w:val="24"/>
        </w:rPr>
        <w:t xml:space="preserve"> % от общего объема инвестиций</w:t>
      </w:r>
    </w:p>
    <w:p w:rsidR="00A22665" w:rsidRPr="00FF4CDD" w:rsidRDefault="00A22665" w:rsidP="00A22665">
      <w:pPr>
        <w:spacing w:after="0"/>
        <w:jc w:val="center"/>
        <w:rPr>
          <w:rFonts w:ascii="Times New Roman" w:hAnsi="Times New Roman" w:cs="Times New Roman"/>
          <w:sz w:val="24"/>
        </w:rPr>
      </w:pPr>
      <w:r w:rsidRPr="00FF4CDD">
        <w:rPr>
          <w:rFonts w:ascii="Times New Roman" w:hAnsi="Times New Roman" w:cs="Times New Roman"/>
          <w:noProof/>
          <w:sz w:val="24"/>
          <w:lang w:eastAsia="ru-RU"/>
        </w:rPr>
        <w:drawing>
          <wp:inline distT="0" distB="0" distL="0" distR="0" wp14:anchorId="0D7C30A8" wp14:editId="706358D2">
            <wp:extent cx="5940425" cy="3889571"/>
            <wp:effectExtent l="0" t="0" r="3175"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22665" w:rsidRPr="00FF4CDD" w:rsidRDefault="00A22665" w:rsidP="00A22665">
      <w:pPr>
        <w:jc w:val="right"/>
        <w:rPr>
          <w:rFonts w:ascii="Times New Roman" w:hAnsi="Times New Roman" w:cs="Times New Roman"/>
          <w:sz w:val="24"/>
          <w:lang w:val="en-US"/>
        </w:rPr>
      </w:pPr>
      <w:r w:rsidRPr="00FF4CDD">
        <w:rPr>
          <w:rFonts w:ascii="Times New Roman" w:hAnsi="Times New Roman" w:cs="Times New Roman"/>
          <w:sz w:val="24"/>
        </w:rPr>
        <w:t>Источник</w:t>
      </w:r>
      <w:r w:rsidRPr="00FF4CDD">
        <w:rPr>
          <w:rFonts w:ascii="Times New Roman" w:hAnsi="Times New Roman" w:cs="Times New Roman"/>
          <w:sz w:val="24"/>
          <w:lang w:val="en-US"/>
        </w:rPr>
        <w:t xml:space="preserve">: </w:t>
      </w:r>
      <w:r w:rsidRPr="00FF4CDD">
        <w:rPr>
          <w:rFonts w:ascii="Times New Roman" w:hAnsi="Times New Roman" w:cs="Times New Roman"/>
          <w:sz w:val="24"/>
        </w:rPr>
        <w:t>ОЭСР</w:t>
      </w:r>
      <w:r w:rsidRPr="00FF4CDD">
        <w:rPr>
          <w:rFonts w:ascii="Times New Roman" w:hAnsi="Times New Roman" w:cs="Times New Roman"/>
          <w:sz w:val="24"/>
          <w:lang w:val="en-US"/>
        </w:rPr>
        <w:t xml:space="preserve"> «Pension Markets in Focus» 2014</w:t>
      </w:r>
    </w:p>
    <w:p w:rsidR="00A22665" w:rsidRDefault="00A22665" w:rsidP="00A22665">
      <w:pPr>
        <w:spacing w:after="0" w:line="360" w:lineRule="auto"/>
        <w:ind w:firstLine="709"/>
        <w:jc w:val="both"/>
        <w:rPr>
          <w:rFonts w:ascii="Times New Roman" w:hAnsi="Times New Roman" w:cs="Times New Roman"/>
          <w:sz w:val="27"/>
          <w:szCs w:val="27"/>
        </w:rPr>
      </w:pPr>
      <w:r w:rsidRPr="000B2F5F">
        <w:rPr>
          <w:rFonts w:ascii="Times New Roman" w:hAnsi="Times New Roman" w:cs="Times New Roman"/>
          <w:sz w:val="27"/>
          <w:szCs w:val="27"/>
        </w:rPr>
        <w:t xml:space="preserve">Стимулом для </w:t>
      </w:r>
      <w:proofErr w:type="spellStart"/>
      <w:r w:rsidRPr="000B2F5F">
        <w:rPr>
          <w:rFonts w:ascii="Times New Roman" w:hAnsi="Times New Roman" w:cs="Times New Roman"/>
          <w:sz w:val="27"/>
          <w:szCs w:val="27"/>
        </w:rPr>
        <w:t>перетока</w:t>
      </w:r>
      <w:proofErr w:type="spellEnd"/>
      <w:r w:rsidRPr="000B2F5F">
        <w:rPr>
          <w:rFonts w:ascii="Times New Roman" w:hAnsi="Times New Roman" w:cs="Times New Roman"/>
          <w:sz w:val="27"/>
          <w:szCs w:val="27"/>
        </w:rPr>
        <w:t xml:space="preserve"> активов в портфелях пенсионных фондов из акций и облигаций в другие инструменты, подавляющая часть которых имеет низкую корреляцию с фондовым рынком, могут служить разные факторы, некоторые из которых имеют специфическую для отдельной страны природу. Но основными факторами являются, очевидно, недостаточно высокая доходность или ликвидность фондового рынка, а также его высокая волатильность, в том числе относительно структуры пассивов фонда. Или, говоря иными словами, «несоответствие доходности уровню принимаемого риска». Если проанализировать </w:t>
      </w:r>
      <w:proofErr w:type="spellStart"/>
      <w:r w:rsidRPr="000B2F5F">
        <w:rPr>
          <w:rFonts w:ascii="Times New Roman" w:hAnsi="Times New Roman" w:cs="Times New Roman"/>
          <w:sz w:val="27"/>
          <w:szCs w:val="27"/>
        </w:rPr>
        <w:t>аллокацию</w:t>
      </w:r>
      <w:proofErr w:type="spellEnd"/>
      <w:r w:rsidRPr="000B2F5F">
        <w:rPr>
          <w:rFonts w:ascii="Times New Roman" w:hAnsi="Times New Roman" w:cs="Times New Roman"/>
          <w:sz w:val="27"/>
          <w:szCs w:val="27"/>
        </w:rPr>
        <w:t xml:space="preserve"> пенсионных фондов по видам активов, представленную в том же обзоре ОЭСР, то видно, что во многих странах доля «других» инструментов (т.е. не акций и облигаций), даже с учетом их возможности </w:t>
      </w:r>
      <w:proofErr w:type="spellStart"/>
      <w:r w:rsidRPr="000B2F5F">
        <w:rPr>
          <w:rFonts w:ascii="Times New Roman" w:hAnsi="Times New Roman" w:cs="Times New Roman"/>
          <w:sz w:val="27"/>
          <w:szCs w:val="27"/>
        </w:rPr>
        <w:t>страновой</w:t>
      </w:r>
      <w:proofErr w:type="spellEnd"/>
      <w:r w:rsidRPr="000B2F5F">
        <w:rPr>
          <w:rFonts w:ascii="Times New Roman" w:hAnsi="Times New Roman" w:cs="Times New Roman"/>
          <w:sz w:val="27"/>
          <w:szCs w:val="27"/>
        </w:rPr>
        <w:t xml:space="preserve"> диверсификации, составляет значительную часть инвестиционных портфелей:</w:t>
      </w:r>
    </w:p>
    <w:p w:rsidR="00A2266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spacing w:after="0" w:line="360" w:lineRule="auto"/>
        <w:ind w:firstLine="709"/>
        <w:jc w:val="both"/>
        <w:rPr>
          <w:rFonts w:ascii="Times New Roman" w:hAnsi="Times New Roman" w:cs="Times New Roman"/>
          <w:sz w:val="27"/>
          <w:szCs w:val="27"/>
        </w:rPr>
      </w:pPr>
      <w:r>
        <w:rPr>
          <w:rFonts w:ascii="Times New Roman" w:hAnsi="Times New Roman" w:cs="Times New Roman"/>
          <w:sz w:val="27"/>
          <w:szCs w:val="27"/>
        </w:rPr>
        <w:br/>
      </w:r>
    </w:p>
    <w:p w:rsidR="00A22665" w:rsidRPr="000B2F5F" w:rsidRDefault="00A22665" w:rsidP="00A22665">
      <w:pPr>
        <w:spacing w:after="0" w:line="360" w:lineRule="auto"/>
        <w:ind w:firstLine="709"/>
        <w:jc w:val="both"/>
        <w:rPr>
          <w:rFonts w:ascii="Times New Roman" w:hAnsi="Times New Roman" w:cs="Times New Roman"/>
          <w:sz w:val="27"/>
          <w:szCs w:val="27"/>
        </w:rPr>
      </w:pPr>
    </w:p>
    <w:p w:rsidR="00A22665" w:rsidRPr="00FF4CDD" w:rsidRDefault="00A22665" w:rsidP="00A22665">
      <w:pPr>
        <w:spacing w:after="0"/>
        <w:jc w:val="center"/>
        <w:rPr>
          <w:rFonts w:ascii="Times New Roman" w:hAnsi="Times New Roman" w:cs="Times New Roman"/>
          <w:b/>
          <w:sz w:val="24"/>
        </w:rPr>
      </w:pPr>
      <w:r w:rsidRPr="00FF4CDD">
        <w:rPr>
          <w:rFonts w:ascii="Times New Roman" w:hAnsi="Times New Roman" w:cs="Times New Roman"/>
          <w:b/>
          <w:sz w:val="24"/>
        </w:rPr>
        <w:t>Инвестиции пенсионных фондов ряда стран, кроме инвестиций в акции и облигации, 2013</w:t>
      </w:r>
    </w:p>
    <w:p w:rsidR="00A22665" w:rsidRPr="00FF4CDD" w:rsidRDefault="00A22665" w:rsidP="00A22665">
      <w:pPr>
        <w:spacing w:after="0"/>
        <w:jc w:val="center"/>
        <w:rPr>
          <w:rFonts w:ascii="Times New Roman" w:hAnsi="Times New Roman" w:cs="Times New Roman"/>
          <w:sz w:val="24"/>
        </w:rPr>
      </w:pPr>
      <w:proofErr w:type="gramStart"/>
      <w:r w:rsidRPr="00FF4CDD">
        <w:rPr>
          <w:rFonts w:ascii="Times New Roman" w:hAnsi="Times New Roman" w:cs="Times New Roman"/>
          <w:sz w:val="24"/>
        </w:rPr>
        <w:t>в</w:t>
      </w:r>
      <w:proofErr w:type="gramEnd"/>
      <w:r w:rsidRPr="00FF4CDD">
        <w:rPr>
          <w:rFonts w:ascii="Times New Roman" w:hAnsi="Times New Roman" w:cs="Times New Roman"/>
          <w:sz w:val="24"/>
        </w:rPr>
        <w:t xml:space="preserve"> % от общего объема инвестиций</w:t>
      </w:r>
    </w:p>
    <w:p w:rsidR="00A22665" w:rsidRPr="00FF4CDD" w:rsidRDefault="00A22665" w:rsidP="00A22665">
      <w:pPr>
        <w:spacing w:after="0"/>
        <w:jc w:val="right"/>
        <w:rPr>
          <w:rFonts w:ascii="Times New Roman" w:hAnsi="Times New Roman" w:cs="Times New Roman"/>
          <w:sz w:val="24"/>
        </w:rPr>
      </w:pPr>
      <w:r w:rsidRPr="00FF4CDD">
        <w:rPr>
          <w:rFonts w:ascii="Times New Roman" w:hAnsi="Times New Roman" w:cs="Times New Roman"/>
          <w:noProof/>
          <w:sz w:val="24"/>
          <w:lang w:eastAsia="ru-RU"/>
        </w:rPr>
        <w:drawing>
          <wp:inline distT="0" distB="0" distL="0" distR="0" wp14:anchorId="2E536E8B" wp14:editId="51C4A6E2">
            <wp:extent cx="5940425" cy="3893250"/>
            <wp:effectExtent l="0" t="0" r="317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FF4CDD">
        <w:rPr>
          <w:rFonts w:ascii="Times New Roman" w:hAnsi="Times New Roman" w:cs="Times New Roman"/>
          <w:sz w:val="24"/>
        </w:rPr>
        <w:t>Источник: ОЭСР «</w:t>
      </w:r>
      <w:r w:rsidRPr="00FF4CDD">
        <w:rPr>
          <w:rFonts w:ascii="Times New Roman" w:hAnsi="Times New Roman" w:cs="Times New Roman"/>
          <w:sz w:val="24"/>
          <w:lang w:val="en-US"/>
        </w:rPr>
        <w:t>Pension</w:t>
      </w:r>
      <w:r w:rsidRPr="00FF4CDD">
        <w:rPr>
          <w:rFonts w:ascii="Times New Roman" w:hAnsi="Times New Roman" w:cs="Times New Roman"/>
          <w:sz w:val="24"/>
        </w:rPr>
        <w:t xml:space="preserve"> </w:t>
      </w:r>
      <w:r w:rsidRPr="00FF4CDD">
        <w:rPr>
          <w:rFonts w:ascii="Times New Roman" w:hAnsi="Times New Roman" w:cs="Times New Roman"/>
          <w:sz w:val="24"/>
          <w:lang w:val="en-US"/>
        </w:rPr>
        <w:t>Markets</w:t>
      </w:r>
      <w:r w:rsidRPr="00FF4CDD">
        <w:rPr>
          <w:rFonts w:ascii="Times New Roman" w:hAnsi="Times New Roman" w:cs="Times New Roman"/>
          <w:sz w:val="24"/>
        </w:rPr>
        <w:t xml:space="preserve"> </w:t>
      </w:r>
      <w:r w:rsidRPr="00FF4CDD">
        <w:rPr>
          <w:rFonts w:ascii="Times New Roman" w:hAnsi="Times New Roman" w:cs="Times New Roman"/>
          <w:sz w:val="24"/>
          <w:lang w:val="en-US"/>
        </w:rPr>
        <w:t>in</w:t>
      </w:r>
      <w:r w:rsidRPr="00FF4CDD">
        <w:rPr>
          <w:rFonts w:ascii="Times New Roman" w:hAnsi="Times New Roman" w:cs="Times New Roman"/>
          <w:sz w:val="24"/>
        </w:rPr>
        <w:t xml:space="preserve"> </w:t>
      </w:r>
      <w:r w:rsidRPr="00FF4CDD">
        <w:rPr>
          <w:rFonts w:ascii="Times New Roman" w:hAnsi="Times New Roman" w:cs="Times New Roman"/>
          <w:sz w:val="24"/>
          <w:lang w:val="en-US"/>
        </w:rPr>
        <w:t>Focus</w:t>
      </w:r>
      <w:r w:rsidRPr="00FF4CDD">
        <w:rPr>
          <w:rFonts w:ascii="Times New Roman" w:hAnsi="Times New Roman" w:cs="Times New Roman"/>
          <w:sz w:val="24"/>
        </w:rPr>
        <w:t>» 2014, расчеты автора</w:t>
      </w:r>
    </w:p>
    <w:p w:rsidR="00A22665" w:rsidRDefault="00A22665" w:rsidP="00A22665">
      <w:pPr>
        <w:jc w:val="right"/>
        <w:rPr>
          <w:rFonts w:ascii="Times New Roman" w:hAnsi="Times New Roman" w:cs="Times New Roman"/>
          <w:sz w:val="24"/>
        </w:rPr>
      </w:pPr>
      <w:r w:rsidRPr="00FF4CDD">
        <w:rPr>
          <w:rFonts w:ascii="Times New Roman" w:hAnsi="Times New Roman" w:cs="Times New Roman"/>
          <w:sz w:val="24"/>
        </w:rPr>
        <w:t>Примечание: по ряду стран информация дана за 2012 год, др. примечания см. источник</w:t>
      </w:r>
    </w:p>
    <w:p w:rsidR="00A22665" w:rsidRPr="00FF4CDD" w:rsidRDefault="00A22665" w:rsidP="00A22665">
      <w:pPr>
        <w:jc w:val="right"/>
        <w:rPr>
          <w:rFonts w:ascii="Times New Roman" w:hAnsi="Times New Roman" w:cs="Times New Roman"/>
          <w:sz w:val="24"/>
        </w:rPr>
      </w:pPr>
    </w:p>
    <w:p w:rsidR="00A22665" w:rsidRPr="000B2F5F" w:rsidRDefault="00A22665" w:rsidP="00A22665">
      <w:pPr>
        <w:spacing w:after="0" w:line="360" w:lineRule="auto"/>
        <w:ind w:firstLine="709"/>
        <w:jc w:val="both"/>
        <w:rPr>
          <w:rFonts w:ascii="Times New Roman" w:hAnsi="Times New Roman" w:cs="Times New Roman"/>
          <w:sz w:val="27"/>
          <w:szCs w:val="27"/>
        </w:rPr>
      </w:pPr>
      <w:r w:rsidRPr="000B2F5F">
        <w:rPr>
          <w:rFonts w:ascii="Times New Roman" w:hAnsi="Times New Roman" w:cs="Times New Roman"/>
          <w:sz w:val="27"/>
          <w:szCs w:val="27"/>
        </w:rPr>
        <w:t xml:space="preserve">Этими же факторами во многом объясняется и относительно высокая в структуре портфелей российских НПФ доля активов, напрямую не связанных, либо ограниченно связанных с фондовым рынком. Для сравнения с данными ОЭСР по данным ЦБ России доля инвестиций российских НПФ в активы помимо акций и облигаций </w:t>
      </w:r>
      <w:proofErr w:type="gramStart"/>
      <w:r w:rsidRPr="000B2F5F">
        <w:rPr>
          <w:rFonts w:ascii="Times New Roman" w:hAnsi="Times New Roman" w:cs="Times New Roman"/>
          <w:sz w:val="27"/>
          <w:szCs w:val="27"/>
        </w:rPr>
        <w:t>на конец</w:t>
      </w:r>
      <w:proofErr w:type="gramEnd"/>
      <w:r w:rsidRPr="000B2F5F">
        <w:rPr>
          <w:rFonts w:ascii="Times New Roman" w:hAnsi="Times New Roman" w:cs="Times New Roman"/>
          <w:sz w:val="27"/>
          <w:szCs w:val="27"/>
        </w:rPr>
        <w:t xml:space="preserve"> 2014 года составила 38,6%, из них доля депозитов – более 31%. </w:t>
      </w:r>
    </w:p>
    <w:p w:rsidR="00A22665" w:rsidRDefault="00A22665" w:rsidP="00A22665">
      <w:pPr>
        <w:spacing w:after="0" w:line="360" w:lineRule="auto"/>
        <w:ind w:firstLine="709"/>
        <w:jc w:val="both"/>
        <w:rPr>
          <w:rFonts w:ascii="Times New Roman" w:hAnsi="Times New Roman" w:cs="Times New Roman"/>
          <w:sz w:val="27"/>
          <w:szCs w:val="27"/>
        </w:rPr>
      </w:pPr>
      <w:r w:rsidRPr="000B2F5F">
        <w:rPr>
          <w:rFonts w:ascii="Times New Roman" w:hAnsi="Times New Roman" w:cs="Times New Roman"/>
          <w:sz w:val="27"/>
          <w:szCs w:val="27"/>
        </w:rPr>
        <w:t xml:space="preserve">С другой стороны, что может лучше определить уровни спроса и предложения, чем сами спрос и предложение? Весь вопрос в размерах и доступности этого спроса и предложения. Санкции, отток капитала, слабая конкурентоспособность экономики, зависимость от цен на сырье, падающих на фоне замедления мировой экономики – </w:t>
      </w:r>
      <w:r w:rsidRPr="000B2F5F">
        <w:rPr>
          <w:rFonts w:ascii="Times New Roman" w:hAnsi="Times New Roman" w:cs="Times New Roman"/>
          <w:sz w:val="27"/>
          <w:szCs w:val="27"/>
        </w:rPr>
        <w:lastRenderedPageBreak/>
        <w:t xml:space="preserve">эти факторы сдерживают приток иностранного капитала на фондовый рынок последние годы. </w:t>
      </w:r>
      <w:proofErr w:type="gramStart"/>
      <w:r w:rsidRPr="000B2F5F">
        <w:rPr>
          <w:rFonts w:ascii="Times New Roman" w:hAnsi="Times New Roman" w:cs="Times New Roman"/>
          <w:sz w:val="27"/>
          <w:szCs w:val="27"/>
        </w:rPr>
        <w:t xml:space="preserve">Вместе с тем практически не добавляют ликвидности рынку и крупные </w:t>
      </w:r>
      <w:proofErr w:type="spellStart"/>
      <w:r w:rsidRPr="000B2F5F">
        <w:rPr>
          <w:rFonts w:ascii="Times New Roman" w:hAnsi="Times New Roman" w:cs="Times New Roman"/>
          <w:sz w:val="27"/>
          <w:szCs w:val="27"/>
        </w:rPr>
        <w:t>макрофонды</w:t>
      </w:r>
      <w:proofErr w:type="spellEnd"/>
      <w:r w:rsidRPr="000B2F5F">
        <w:rPr>
          <w:rFonts w:ascii="Times New Roman" w:hAnsi="Times New Roman" w:cs="Times New Roman"/>
          <w:sz w:val="27"/>
          <w:szCs w:val="27"/>
        </w:rPr>
        <w:t xml:space="preserve"> – ВЭБ, как государственный агент по управлению пенсионными накоплениями «молчунов» не раскрывает структуру портфелей, но, очевидно, формирует их не на фондовом рынке, АСВ, инвестирующее временно свободные денежные средства Фонда обязательного страхования вкладов, на фоне масштабных выплат вынуждено заметно сократить присутствие на торгах.</w:t>
      </w:r>
      <w:proofErr w:type="gramEnd"/>
      <w:r w:rsidRPr="000B2F5F">
        <w:rPr>
          <w:rFonts w:ascii="Times New Roman" w:hAnsi="Times New Roman" w:cs="Times New Roman"/>
          <w:sz w:val="27"/>
          <w:szCs w:val="27"/>
        </w:rPr>
        <w:t xml:space="preserve"> Размер Фонда сократился с 202,5 </w:t>
      </w:r>
      <w:proofErr w:type="gramStart"/>
      <w:r w:rsidRPr="000B2F5F">
        <w:rPr>
          <w:rFonts w:ascii="Times New Roman" w:hAnsi="Times New Roman" w:cs="Times New Roman"/>
          <w:sz w:val="27"/>
          <w:szCs w:val="27"/>
        </w:rPr>
        <w:t>млрд</w:t>
      </w:r>
      <w:proofErr w:type="gramEnd"/>
      <w:r w:rsidRPr="000B2F5F">
        <w:rPr>
          <w:rFonts w:ascii="Times New Roman" w:hAnsi="Times New Roman" w:cs="Times New Roman"/>
          <w:sz w:val="27"/>
          <w:szCs w:val="27"/>
        </w:rPr>
        <w:t xml:space="preserve"> рублей в 2012 года до 68,9 млрд рублей на конец 2014 года, а последние события показывают, что это, вероятно, еще не предел. Суммарная СЧА открытых и интервальных </w:t>
      </w:r>
      <w:proofErr w:type="spellStart"/>
      <w:r w:rsidRPr="000B2F5F">
        <w:rPr>
          <w:rFonts w:ascii="Times New Roman" w:hAnsi="Times New Roman" w:cs="Times New Roman"/>
          <w:sz w:val="27"/>
          <w:szCs w:val="27"/>
        </w:rPr>
        <w:t>ПИФов</w:t>
      </w:r>
      <w:proofErr w:type="spellEnd"/>
      <w:r w:rsidRPr="000B2F5F">
        <w:rPr>
          <w:rFonts w:ascii="Times New Roman" w:hAnsi="Times New Roman" w:cs="Times New Roman"/>
          <w:sz w:val="27"/>
          <w:szCs w:val="27"/>
        </w:rPr>
        <w:t xml:space="preserve">, инвестирующих в российские ценные бумаги, за последние 5 лет сократилась почти на 15 </w:t>
      </w:r>
      <w:proofErr w:type="gramStart"/>
      <w:r w:rsidRPr="000B2F5F">
        <w:rPr>
          <w:rFonts w:ascii="Times New Roman" w:hAnsi="Times New Roman" w:cs="Times New Roman"/>
          <w:sz w:val="27"/>
          <w:szCs w:val="27"/>
        </w:rPr>
        <w:t>млрд</w:t>
      </w:r>
      <w:proofErr w:type="gramEnd"/>
      <w:r w:rsidRPr="000B2F5F">
        <w:rPr>
          <w:rFonts w:ascii="Times New Roman" w:hAnsi="Times New Roman" w:cs="Times New Roman"/>
          <w:sz w:val="27"/>
          <w:szCs w:val="27"/>
        </w:rPr>
        <w:t xml:space="preserve"> рублей. </w:t>
      </w:r>
      <w:proofErr w:type="gramStart"/>
      <w:r w:rsidRPr="000B2F5F">
        <w:rPr>
          <w:rFonts w:ascii="Times New Roman" w:hAnsi="Times New Roman" w:cs="Times New Roman"/>
          <w:sz w:val="27"/>
          <w:szCs w:val="27"/>
        </w:rPr>
        <w:t>В итоге суммарный объем торгов на фондовом рынке Московской биржи последние 5 лет снижается.</w:t>
      </w:r>
      <w:proofErr w:type="gramEnd"/>
      <w:r w:rsidRPr="000B2F5F">
        <w:rPr>
          <w:rFonts w:ascii="Times New Roman" w:hAnsi="Times New Roman" w:cs="Times New Roman"/>
          <w:sz w:val="27"/>
          <w:szCs w:val="27"/>
        </w:rPr>
        <w:t xml:space="preserve"> Если эта тенденция сохранится, то на фоне роста объема активов, крупные пенсионные фонды могут оказаться «слонами в посудной лавке», рискуя случайно формально </w:t>
      </w:r>
      <w:proofErr w:type="spellStart"/>
      <w:r w:rsidRPr="000B2F5F">
        <w:rPr>
          <w:rFonts w:ascii="Times New Roman" w:hAnsi="Times New Roman" w:cs="Times New Roman"/>
          <w:sz w:val="27"/>
          <w:szCs w:val="27"/>
        </w:rPr>
        <w:t>проманипулировать</w:t>
      </w:r>
      <w:proofErr w:type="spellEnd"/>
      <w:r w:rsidRPr="000B2F5F">
        <w:rPr>
          <w:rFonts w:ascii="Times New Roman" w:hAnsi="Times New Roman" w:cs="Times New Roman"/>
          <w:sz w:val="27"/>
          <w:szCs w:val="27"/>
        </w:rPr>
        <w:t xml:space="preserve"> рынком, совершая рутинные операции по портфелям.</w:t>
      </w:r>
    </w:p>
    <w:p w:rsidR="00A22665" w:rsidRPr="000B2F5F" w:rsidRDefault="00A22665" w:rsidP="00A22665">
      <w:pPr>
        <w:spacing w:after="0" w:line="360" w:lineRule="auto"/>
        <w:ind w:firstLine="709"/>
        <w:jc w:val="both"/>
        <w:rPr>
          <w:rFonts w:ascii="Times New Roman" w:hAnsi="Times New Roman" w:cs="Times New Roman"/>
          <w:sz w:val="27"/>
          <w:szCs w:val="27"/>
        </w:rPr>
      </w:pPr>
    </w:p>
    <w:p w:rsidR="00A22665" w:rsidRPr="00FF4CDD" w:rsidRDefault="00A22665" w:rsidP="00A22665">
      <w:pPr>
        <w:spacing w:after="0"/>
        <w:jc w:val="center"/>
        <w:rPr>
          <w:rFonts w:ascii="Times New Roman" w:hAnsi="Times New Roman" w:cs="Times New Roman"/>
          <w:b/>
          <w:sz w:val="24"/>
        </w:rPr>
      </w:pPr>
      <w:r w:rsidRPr="00FF4CDD">
        <w:rPr>
          <w:rFonts w:ascii="Times New Roman" w:hAnsi="Times New Roman" w:cs="Times New Roman"/>
          <w:b/>
          <w:sz w:val="24"/>
        </w:rPr>
        <w:t xml:space="preserve">Объем торгов на фондовом рынке Группы Московская Биржа за последние 5 лет, </w:t>
      </w:r>
      <w:proofErr w:type="gramStart"/>
      <w:r w:rsidRPr="00FF4CDD">
        <w:rPr>
          <w:rFonts w:ascii="Times New Roman" w:hAnsi="Times New Roman" w:cs="Times New Roman"/>
          <w:b/>
          <w:sz w:val="24"/>
        </w:rPr>
        <w:t>млрд</w:t>
      </w:r>
      <w:proofErr w:type="gramEnd"/>
      <w:r w:rsidRPr="00FF4CDD">
        <w:rPr>
          <w:rFonts w:ascii="Times New Roman" w:hAnsi="Times New Roman" w:cs="Times New Roman"/>
          <w:b/>
          <w:sz w:val="24"/>
        </w:rPr>
        <w:t xml:space="preserve"> руб.</w:t>
      </w:r>
    </w:p>
    <w:p w:rsidR="00A22665" w:rsidRPr="00FF4CDD" w:rsidRDefault="00A22665" w:rsidP="00A22665">
      <w:pPr>
        <w:spacing w:after="0"/>
        <w:jc w:val="center"/>
        <w:rPr>
          <w:rFonts w:ascii="Times New Roman" w:hAnsi="Times New Roman" w:cs="Times New Roman"/>
          <w:sz w:val="24"/>
        </w:rPr>
      </w:pPr>
      <w:r w:rsidRPr="00FF4CDD">
        <w:rPr>
          <w:rFonts w:ascii="Times New Roman" w:hAnsi="Times New Roman" w:cs="Times New Roman"/>
          <w:noProof/>
          <w:sz w:val="24"/>
          <w:lang w:eastAsia="ru-RU"/>
        </w:rPr>
        <w:drawing>
          <wp:inline distT="0" distB="0" distL="0" distR="0" wp14:anchorId="00430485" wp14:editId="261122AF">
            <wp:extent cx="5937250" cy="3194050"/>
            <wp:effectExtent l="0" t="0" r="6350" b="635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22665" w:rsidRPr="00FF4CDD" w:rsidRDefault="00A22665" w:rsidP="00A22665">
      <w:pPr>
        <w:jc w:val="right"/>
        <w:rPr>
          <w:rFonts w:ascii="Times New Roman" w:hAnsi="Times New Roman" w:cs="Times New Roman"/>
          <w:sz w:val="24"/>
        </w:rPr>
      </w:pPr>
      <w:r w:rsidRPr="00FF4CDD">
        <w:rPr>
          <w:rFonts w:ascii="Times New Roman" w:hAnsi="Times New Roman" w:cs="Times New Roman"/>
          <w:sz w:val="24"/>
        </w:rPr>
        <w:t>Источник: Московская биржа</w:t>
      </w:r>
    </w:p>
    <w:p w:rsidR="00A22665" w:rsidRPr="00A22665" w:rsidRDefault="00A22665" w:rsidP="00A22665">
      <w:pPr>
        <w:spacing w:after="0" w:line="360" w:lineRule="auto"/>
        <w:ind w:firstLine="709"/>
        <w:jc w:val="both"/>
        <w:rPr>
          <w:rFonts w:ascii="Times New Roman" w:hAnsi="Times New Roman" w:cs="Times New Roman"/>
          <w:sz w:val="27"/>
          <w:szCs w:val="27"/>
        </w:rPr>
      </w:pPr>
      <w:r w:rsidRPr="000B2F5F">
        <w:rPr>
          <w:rFonts w:ascii="Times New Roman" w:hAnsi="Times New Roman" w:cs="Times New Roman"/>
          <w:sz w:val="27"/>
          <w:szCs w:val="27"/>
        </w:rPr>
        <w:lastRenderedPageBreak/>
        <w:t xml:space="preserve">В сложившейся ситуации регулятор оказался в достаточно затруднительном положении, пытаясь оценивать качество инвестиций фондов сугубо по рыночным меркам при фактическом отсутствии – в нужном объеме и качестве – этого самого рынка. Возможно, ответом сразу на все вопросы – и на соответствие риска доходности, и на обвинения </w:t>
      </w:r>
      <w:proofErr w:type="spellStart"/>
      <w:r w:rsidRPr="000B2F5F">
        <w:rPr>
          <w:rFonts w:ascii="Times New Roman" w:hAnsi="Times New Roman" w:cs="Times New Roman"/>
          <w:sz w:val="27"/>
          <w:szCs w:val="27"/>
        </w:rPr>
        <w:t>соцблока</w:t>
      </w:r>
      <w:proofErr w:type="spellEnd"/>
      <w:r w:rsidRPr="000B2F5F">
        <w:rPr>
          <w:rFonts w:ascii="Times New Roman" w:hAnsi="Times New Roman" w:cs="Times New Roman"/>
          <w:sz w:val="27"/>
          <w:szCs w:val="27"/>
        </w:rPr>
        <w:t xml:space="preserve"> в том, что средства пенсионных накоплений, поступающие в НПФ, якобы не работают на экономику, и на проблемы с волатильностью рынка, – станут инвестиции в инфраструктурные проекты. По крайней </w:t>
      </w:r>
      <w:proofErr w:type="gramStart"/>
      <w:r w:rsidRPr="000B2F5F">
        <w:rPr>
          <w:rFonts w:ascii="Times New Roman" w:hAnsi="Times New Roman" w:cs="Times New Roman"/>
          <w:sz w:val="27"/>
          <w:szCs w:val="27"/>
        </w:rPr>
        <w:t>мере</w:t>
      </w:r>
      <w:proofErr w:type="gramEnd"/>
      <w:r w:rsidRPr="000B2F5F">
        <w:rPr>
          <w:rFonts w:ascii="Times New Roman" w:hAnsi="Times New Roman" w:cs="Times New Roman"/>
          <w:sz w:val="27"/>
          <w:szCs w:val="27"/>
        </w:rPr>
        <w:t xml:space="preserve"> до момента, когда фондам придется задуматься об актуарной ликвидности.</w:t>
      </w:r>
    </w:p>
    <w:p w:rsidR="00A22665" w:rsidRDefault="00A22665"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0A7EB9" w:rsidRDefault="000A7EB9" w:rsidP="00A22665">
      <w:pPr>
        <w:spacing w:after="0" w:line="360" w:lineRule="auto"/>
        <w:ind w:firstLine="709"/>
        <w:jc w:val="both"/>
        <w:rPr>
          <w:rFonts w:ascii="Times New Roman" w:hAnsi="Times New Roman"/>
          <w:noProof/>
          <w:sz w:val="27"/>
          <w:szCs w:val="27"/>
          <w:lang w:eastAsia="ru-RU"/>
        </w:rPr>
      </w:pPr>
    </w:p>
    <w:p w:rsidR="00A22665" w:rsidRPr="003F6E95" w:rsidRDefault="00A22665" w:rsidP="00A22665">
      <w:pPr>
        <w:pStyle w:val="1"/>
        <w:spacing w:before="0" w:after="240"/>
        <w:jc w:val="center"/>
        <w:rPr>
          <w:rFonts w:ascii="Times New Roman" w:hAnsi="Times New Roman" w:cs="Times New Roman"/>
          <w:b/>
          <w:color w:val="auto"/>
          <w:sz w:val="28"/>
        </w:rPr>
      </w:pPr>
      <w:r w:rsidRPr="003F6E95">
        <w:rPr>
          <w:rFonts w:ascii="Times New Roman" w:hAnsi="Times New Roman" w:cs="Times New Roman"/>
          <w:b/>
          <w:color w:val="auto"/>
          <w:sz w:val="28"/>
        </w:rPr>
        <w:lastRenderedPageBreak/>
        <w:t>Инвестирование пенсионных активов в условиях кризиса: проблемы и пути решения</w:t>
      </w:r>
    </w:p>
    <w:p w:rsidR="00A22665" w:rsidRPr="003F6E95" w:rsidRDefault="00A22665" w:rsidP="00A22665"/>
    <w:p w:rsidR="00A22665" w:rsidRDefault="00A22665" w:rsidP="00A22665">
      <w:pPr>
        <w:jc w:val="right"/>
        <w:rPr>
          <w:lang w:val="en-GB"/>
        </w:rPr>
      </w:pPr>
      <w:r>
        <w:rPr>
          <w:noProof/>
          <w:lang w:eastAsia="ru-RU"/>
        </w:rPr>
        <w:drawing>
          <wp:inline distT="0" distB="0" distL="0" distR="0" wp14:anchorId="5B774DF8" wp14:editId="0AF70E8B">
            <wp:extent cx="1075005" cy="1233577"/>
            <wp:effectExtent l="0" t="0" r="0" b="5080"/>
            <wp:docPr id="16" name="Рисунок 16" descr="C:\Users\AKomarov\Desktop\Журнал новый номер\Номер 24(4)\Фото Кост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omarov\Desktop\Журнал новый номер\Номер 24(4)\Фото Костенко.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5549" cy="1234201"/>
                    </a:xfrm>
                    <a:prstGeom prst="rect">
                      <a:avLst/>
                    </a:prstGeom>
                    <a:noFill/>
                    <a:ln>
                      <a:noFill/>
                    </a:ln>
                  </pic:spPr>
                </pic:pic>
              </a:graphicData>
            </a:graphic>
          </wp:inline>
        </w:drawing>
      </w:r>
    </w:p>
    <w:p w:rsidR="00A22665" w:rsidRPr="003F6E95" w:rsidRDefault="00A22665" w:rsidP="00A22665">
      <w:pPr>
        <w:jc w:val="right"/>
        <w:rPr>
          <w:rFonts w:ascii="Times New Roman" w:eastAsia="Times New Roman" w:hAnsi="Times New Roman" w:cs="Times New Roman"/>
          <w:i/>
          <w:color w:val="000000" w:themeColor="text1"/>
          <w:sz w:val="24"/>
          <w:lang w:eastAsia="ru-RU"/>
        </w:rPr>
      </w:pPr>
      <w:r w:rsidRPr="003F6E95">
        <w:rPr>
          <w:rFonts w:ascii="Times New Roman" w:hAnsi="Times New Roman" w:cs="Times New Roman"/>
          <w:i/>
          <w:color w:val="000000" w:themeColor="text1"/>
          <w:sz w:val="24"/>
        </w:rPr>
        <w:t>Лев Николаевич Костенко</w:t>
      </w:r>
      <w:r>
        <w:rPr>
          <w:rFonts w:ascii="Times New Roman" w:hAnsi="Times New Roman" w:cs="Times New Roman"/>
          <w:i/>
          <w:color w:val="000000" w:themeColor="text1"/>
          <w:sz w:val="24"/>
        </w:rPr>
        <w:br/>
      </w:r>
      <w:r w:rsidRPr="003F6E95">
        <w:rPr>
          <w:rFonts w:ascii="Times New Roman" w:eastAsia="Times New Roman" w:hAnsi="Times New Roman" w:cs="Times New Roman"/>
          <w:i/>
          <w:iCs/>
          <w:color w:val="000000" w:themeColor="text1"/>
          <w:sz w:val="24"/>
          <w:lang w:eastAsia="ru-RU"/>
        </w:rPr>
        <w:t>Заместитель руководителя департамента</w:t>
      </w:r>
      <w:r>
        <w:rPr>
          <w:rFonts w:ascii="Times New Roman" w:eastAsia="Times New Roman" w:hAnsi="Times New Roman" w:cs="Times New Roman"/>
          <w:i/>
          <w:iCs/>
          <w:color w:val="000000" w:themeColor="text1"/>
          <w:sz w:val="24"/>
          <w:lang w:eastAsia="ru-RU"/>
        </w:rPr>
        <w:br/>
      </w:r>
      <w:r w:rsidRPr="003F6E95">
        <w:rPr>
          <w:rFonts w:ascii="Times New Roman" w:eastAsia="Times New Roman" w:hAnsi="Times New Roman" w:cs="Times New Roman"/>
          <w:i/>
          <w:iCs/>
          <w:color w:val="000000" w:themeColor="text1"/>
          <w:sz w:val="24"/>
          <w:lang w:eastAsia="ru-RU"/>
        </w:rPr>
        <w:t>Актуарных расчетов и управления рисками</w:t>
      </w:r>
      <w:r>
        <w:rPr>
          <w:rFonts w:ascii="Times New Roman" w:eastAsia="Times New Roman" w:hAnsi="Times New Roman" w:cs="Times New Roman"/>
          <w:i/>
          <w:iCs/>
          <w:color w:val="000000" w:themeColor="text1"/>
          <w:sz w:val="24"/>
          <w:lang w:eastAsia="ru-RU"/>
        </w:rPr>
        <w:br/>
      </w:r>
      <w:r w:rsidRPr="003F6E95">
        <w:rPr>
          <w:rFonts w:ascii="Times New Roman" w:eastAsia="Times New Roman" w:hAnsi="Times New Roman" w:cs="Times New Roman"/>
          <w:i/>
          <w:iCs/>
          <w:color w:val="000000" w:themeColor="text1"/>
          <w:sz w:val="24"/>
          <w:lang w:eastAsia="ru-RU"/>
        </w:rPr>
        <w:t>НПФ «</w:t>
      </w:r>
      <w:proofErr w:type="spellStart"/>
      <w:r w:rsidRPr="003F6E95">
        <w:rPr>
          <w:rFonts w:ascii="Times New Roman" w:eastAsia="Times New Roman" w:hAnsi="Times New Roman" w:cs="Times New Roman"/>
          <w:i/>
          <w:iCs/>
          <w:color w:val="000000" w:themeColor="text1"/>
          <w:sz w:val="24"/>
          <w:lang w:eastAsia="ru-RU"/>
        </w:rPr>
        <w:t>Атомгарант</w:t>
      </w:r>
      <w:proofErr w:type="spellEnd"/>
      <w:r w:rsidRPr="003F6E95">
        <w:rPr>
          <w:rFonts w:ascii="Times New Roman" w:eastAsia="Times New Roman" w:hAnsi="Times New Roman" w:cs="Times New Roman"/>
          <w:i/>
          <w:iCs/>
          <w:color w:val="000000" w:themeColor="text1"/>
          <w:sz w:val="24"/>
          <w:lang w:eastAsia="ru-RU"/>
        </w:rPr>
        <w:t>»</w:t>
      </w:r>
    </w:p>
    <w:p w:rsidR="00A22665" w:rsidRPr="003F6E95" w:rsidRDefault="00A22665" w:rsidP="00A22665"/>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Согласно Федеральному закону от 07.05.1998г. №75-ФЗ «О негосударственных пенсионных фондах» размещение средств пенсионных резервов и инвестирование пенсионных накоплений должно осуществляться на следующих принципах:</w:t>
      </w:r>
    </w:p>
    <w:p w:rsidR="00A22665" w:rsidRPr="003F6E95" w:rsidRDefault="00A22665" w:rsidP="00A22665">
      <w:pPr>
        <w:pStyle w:val="a8"/>
        <w:numPr>
          <w:ilvl w:val="0"/>
          <w:numId w:val="3"/>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обеспечения сохранности пенсионных средств;</w:t>
      </w:r>
    </w:p>
    <w:p w:rsidR="00A22665" w:rsidRPr="003F6E95" w:rsidRDefault="00A22665" w:rsidP="00A22665">
      <w:pPr>
        <w:pStyle w:val="a8"/>
        <w:numPr>
          <w:ilvl w:val="0"/>
          <w:numId w:val="3"/>
        </w:numPr>
        <w:spacing w:after="0" w:line="360" w:lineRule="auto"/>
        <w:ind w:left="0" w:firstLine="709"/>
        <w:jc w:val="both"/>
        <w:rPr>
          <w:rFonts w:ascii="Times New Roman" w:hAnsi="Times New Roman" w:cs="Times New Roman"/>
          <w:sz w:val="27"/>
          <w:szCs w:val="27"/>
        </w:rPr>
      </w:pPr>
      <w:r w:rsidRPr="003F6E95">
        <w:rPr>
          <w:rFonts w:ascii="Times New Roman" w:hAnsi="Times New Roman" w:cs="Times New Roman"/>
          <w:sz w:val="27"/>
          <w:szCs w:val="27"/>
        </w:rPr>
        <w:t>обеспечения доходности, диверсификации и ликвидности инвестиционных портфелей;</w:t>
      </w:r>
    </w:p>
    <w:p w:rsidR="00A22665" w:rsidRPr="003F6E95" w:rsidRDefault="00A22665" w:rsidP="00A22665">
      <w:pPr>
        <w:pStyle w:val="a8"/>
        <w:numPr>
          <w:ilvl w:val="0"/>
          <w:numId w:val="3"/>
        </w:numPr>
        <w:spacing w:after="0" w:line="360" w:lineRule="auto"/>
        <w:ind w:left="0" w:firstLine="709"/>
        <w:jc w:val="both"/>
        <w:rPr>
          <w:rFonts w:ascii="Times New Roman" w:hAnsi="Times New Roman" w:cs="Times New Roman"/>
          <w:sz w:val="27"/>
          <w:szCs w:val="27"/>
        </w:rPr>
      </w:pPr>
      <w:r w:rsidRPr="003F6E95">
        <w:rPr>
          <w:rFonts w:ascii="Times New Roman" w:hAnsi="Times New Roman" w:cs="Times New Roman"/>
          <w:sz w:val="27"/>
          <w:szCs w:val="27"/>
        </w:rPr>
        <w:t>определения инвестиционной стратегии на основе объективных критериев, поддающихся количественной оценке;</w:t>
      </w:r>
    </w:p>
    <w:p w:rsidR="00A22665" w:rsidRPr="003F6E95" w:rsidRDefault="00A22665" w:rsidP="00A22665">
      <w:pPr>
        <w:pStyle w:val="a8"/>
        <w:numPr>
          <w:ilvl w:val="0"/>
          <w:numId w:val="3"/>
        </w:numPr>
        <w:spacing w:after="0" w:line="360" w:lineRule="auto"/>
        <w:ind w:left="0" w:firstLine="709"/>
        <w:jc w:val="both"/>
        <w:rPr>
          <w:rFonts w:ascii="Times New Roman" w:hAnsi="Times New Roman" w:cs="Times New Roman"/>
          <w:sz w:val="27"/>
          <w:szCs w:val="27"/>
        </w:rPr>
      </w:pPr>
      <w:r w:rsidRPr="003F6E95">
        <w:rPr>
          <w:rFonts w:ascii="Times New Roman" w:hAnsi="Times New Roman" w:cs="Times New Roman"/>
          <w:sz w:val="27"/>
          <w:szCs w:val="27"/>
        </w:rPr>
        <w:t>учета надежности ценных бумаг;</w:t>
      </w:r>
    </w:p>
    <w:p w:rsidR="00A22665" w:rsidRPr="003F6E95" w:rsidRDefault="00A22665" w:rsidP="00A22665">
      <w:pPr>
        <w:pStyle w:val="a8"/>
        <w:numPr>
          <w:ilvl w:val="0"/>
          <w:numId w:val="3"/>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информационной открытости процесса размещения средств пенсионных резервов и инвестирования средств пенсионных накоплений для фонда, его вкладчиков, участников и застрахованных лиц;</w:t>
      </w:r>
    </w:p>
    <w:p w:rsidR="00A22665" w:rsidRPr="003F6E95" w:rsidRDefault="00A22665" w:rsidP="00A22665">
      <w:pPr>
        <w:pStyle w:val="a8"/>
        <w:numPr>
          <w:ilvl w:val="0"/>
          <w:numId w:val="3"/>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прозрачности процесса размещения средств пенсионных резервов и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w:t>
      </w:r>
    </w:p>
    <w:p w:rsidR="00A22665" w:rsidRPr="003F6E95" w:rsidRDefault="00A22665" w:rsidP="00A22665">
      <w:pPr>
        <w:pStyle w:val="a8"/>
        <w:numPr>
          <w:ilvl w:val="0"/>
          <w:numId w:val="3"/>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профессионального управления инвестиционным процессом.</w:t>
      </w:r>
    </w:p>
    <w:p w:rsidR="00A2266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С целью соблюдения таких принципов Фондам необходимо разрабатывать и внедрять систему </w:t>
      </w:r>
      <w:proofErr w:type="gramStart"/>
      <w:r w:rsidRPr="003F6E95">
        <w:rPr>
          <w:rFonts w:ascii="Times New Roman" w:hAnsi="Times New Roman" w:cs="Times New Roman"/>
          <w:sz w:val="27"/>
          <w:szCs w:val="27"/>
        </w:rPr>
        <w:t>риск-менеджмента</w:t>
      </w:r>
      <w:proofErr w:type="gramEnd"/>
      <w:r w:rsidRPr="003F6E95">
        <w:rPr>
          <w:rFonts w:ascii="Times New Roman" w:hAnsi="Times New Roman" w:cs="Times New Roman"/>
          <w:sz w:val="27"/>
          <w:szCs w:val="27"/>
        </w:rPr>
        <w:t xml:space="preserve">, организовывать внутреннюю структуру </w:t>
      </w:r>
      <w:r w:rsidRPr="003F6E95">
        <w:rPr>
          <w:rFonts w:ascii="Times New Roman" w:hAnsi="Times New Roman" w:cs="Times New Roman"/>
          <w:sz w:val="27"/>
          <w:szCs w:val="27"/>
        </w:rPr>
        <w:lastRenderedPageBreak/>
        <w:t xml:space="preserve">принятия инвестиционных решений с четким распределением функций и полномочий подразделений, формировать коллегиальные органы, на основе которых будут приниматься решения по рискам. В Фонде, следует регулярно проводить стресс-тестирование, с целью выявления «слабых мест» инвестиционной стратегии и процесса управления рисками. Результаты проведения </w:t>
      </w:r>
      <w:proofErr w:type="gramStart"/>
      <w:r w:rsidRPr="003F6E95">
        <w:rPr>
          <w:rFonts w:ascii="Times New Roman" w:hAnsi="Times New Roman" w:cs="Times New Roman"/>
          <w:sz w:val="27"/>
          <w:szCs w:val="27"/>
        </w:rPr>
        <w:t>стресс-тестов</w:t>
      </w:r>
      <w:proofErr w:type="gramEnd"/>
      <w:r w:rsidRPr="003F6E95">
        <w:rPr>
          <w:rFonts w:ascii="Times New Roman" w:hAnsi="Times New Roman" w:cs="Times New Roman"/>
          <w:sz w:val="27"/>
          <w:szCs w:val="27"/>
        </w:rPr>
        <w:t xml:space="preserve"> необходимо обсуждать на заседаниях коллегиальных органов и с руководством Фонда. При формировании стрессовых сценариев, необходимо учитывать опыт предыдущих кризисов и специфику текущей инвестиционной стратегии Фонда. Процедуры и функции системы </w:t>
      </w:r>
      <w:proofErr w:type="gramStart"/>
      <w:r w:rsidRPr="003F6E95">
        <w:rPr>
          <w:rFonts w:ascii="Times New Roman" w:hAnsi="Times New Roman" w:cs="Times New Roman"/>
          <w:sz w:val="27"/>
          <w:szCs w:val="27"/>
        </w:rPr>
        <w:t>риск-менеджмента</w:t>
      </w:r>
      <w:proofErr w:type="gramEnd"/>
      <w:r w:rsidRPr="003F6E95">
        <w:rPr>
          <w:rFonts w:ascii="Times New Roman" w:hAnsi="Times New Roman" w:cs="Times New Roman"/>
          <w:sz w:val="27"/>
          <w:szCs w:val="27"/>
        </w:rPr>
        <w:t xml:space="preserve"> следует регулярно тестировать, пересматривать и совершенствовать с учетом лучших международных практик управления рисками.</w:t>
      </w:r>
    </w:p>
    <w:p w:rsidR="00A22665" w:rsidRPr="003F6E9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pStyle w:val="2"/>
        <w:spacing w:before="0" w:line="360" w:lineRule="auto"/>
        <w:ind w:firstLine="709"/>
        <w:jc w:val="center"/>
        <w:rPr>
          <w:rFonts w:ascii="Times New Roman" w:hAnsi="Times New Roman" w:cs="Times New Roman"/>
          <w:b/>
          <w:color w:val="auto"/>
          <w:sz w:val="27"/>
          <w:szCs w:val="27"/>
        </w:rPr>
      </w:pPr>
      <w:r w:rsidRPr="003F6E95">
        <w:rPr>
          <w:rFonts w:ascii="Times New Roman" w:hAnsi="Times New Roman" w:cs="Times New Roman"/>
          <w:b/>
          <w:color w:val="auto"/>
          <w:sz w:val="27"/>
          <w:szCs w:val="27"/>
        </w:rPr>
        <w:t>Обзор основных проблем инвестирования пенсионных средств в условиях кризиса</w:t>
      </w:r>
    </w:p>
    <w:p w:rsidR="00A22665" w:rsidRPr="003F6E95" w:rsidRDefault="00A22665" w:rsidP="00A22665"/>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Инвестирование средств пенсионных накоплений и размещения средств пенсионных резервов в условиях кризиса сопряжено с рядом трудностей, которые включают:</w:t>
      </w:r>
    </w:p>
    <w:p w:rsidR="00A22665" w:rsidRPr="003F6E95" w:rsidRDefault="00A22665" w:rsidP="00A22665">
      <w:pPr>
        <w:pStyle w:val="a8"/>
        <w:numPr>
          <w:ilvl w:val="0"/>
          <w:numId w:val="2"/>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существенное ухудшение ликвидности фондового рынка (сложность </w:t>
      </w:r>
      <w:proofErr w:type="spellStart"/>
      <w:r w:rsidRPr="003F6E95">
        <w:rPr>
          <w:rFonts w:ascii="Times New Roman" w:hAnsi="Times New Roman" w:cs="Times New Roman"/>
          <w:sz w:val="27"/>
          <w:szCs w:val="27"/>
        </w:rPr>
        <w:t>аллокации</w:t>
      </w:r>
      <w:proofErr w:type="spellEnd"/>
      <w:r w:rsidRPr="003F6E95">
        <w:rPr>
          <w:rFonts w:ascii="Times New Roman" w:hAnsi="Times New Roman" w:cs="Times New Roman"/>
          <w:sz w:val="27"/>
          <w:szCs w:val="27"/>
        </w:rPr>
        <w:t xml:space="preserve"> активов с целью диверсификации и минимизации рисков);</w:t>
      </w:r>
    </w:p>
    <w:p w:rsidR="00A22665" w:rsidRPr="003F6E95" w:rsidRDefault="00A22665" w:rsidP="00A22665">
      <w:pPr>
        <w:pStyle w:val="a8"/>
        <w:numPr>
          <w:ilvl w:val="0"/>
          <w:numId w:val="2"/>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существенное снижение котировок большинства ценных бумаг (сложность выбора финансовых инструментов);</w:t>
      </w:r>
    </w:p>
    <w:p w:rsidR="00A22665" w:rsidRPr="003F6E95" w:rsidRDefault="00A22665" w:rsidP="00A22665">
      <w:pPr>
        <w:pStyle w:val="a8"/>
        <w:numPr>
          <w:ilvl w:val="0"/>
          <w:numId w:val="2"/>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ухудшение краткосрочной ликвидности кредитных организаций (увеличение вероятности дефолта кредитных организаций);</w:t>
      </w:r>
    </w:p>
    <w:p w:rsidR="00A22665" w:rsidRPr="003F6E95" w:rsidRDefault="00A22665" w:rsidP="00A22665">
      <w:pPr>
        <w:pStyle w:val="a8"/>
        <w:numPr>
          <w:ilvl w:val="0"/>
          <w:numId w:val="2"/>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ухудшение точности оценок рисков, основанных на предположениях «нормального» поведения рынка (увеличения корреляции между различными финансовыми инструментами, не выполнения предположения о нормальном распределении (распределении Гаусса) доходностей ценных бумаг и др.);</w:t>
      </w:r>
    </w:p>
    <w:p w:rsidR="00A22665" w:rsidRPr="003F6E95" w:rsidRDefault="00A22665" w:rsidP="00A22665">
      <w:pPr>
        <w:pStyle w:val="a8"/>
        <w:numPr>
          <w:ilvl w:val="0"/>
          <w:numId w:val="2"/>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ухудшение точности оценок кредитного качества кредитных организаций и эмитентов долговых финансовых инструментов;</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Отсутствие (недостаточное количество) инструментов позволяющих эффективно хеджировать рыночные, кредитные и риски ликвидности (в том числе по </w:t>
      </w:r>
      <w:r w:rsidRPr="003F6E95">
        <w:rPr>
          <w:rFonts w:ascii="Times New Roman" w:hAnsi="Times New Roman" w:cs="Times New Roman"/>
          <w:sz w:val="27"/>
          <w:szCs w:val="27"/>
        </w:rPr>
        <w:lastRenderedPageBreak/>
        <w:t>причине не удовлетворения таких инструментов требованиям, предъявляемым к составу и структуре пенсионных портфелей законодательными и нормативными документами Российской Федерации) усугубляет негативное влияние кризиса на доходность пенсионных резервов и пенсионных накоплений.</w:t>
      </w:r>
    </w:p>
    <w:p w:rsidR="00A2266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Рассмотрим сложности инвестирования пенсионных средств на примере основных финансовых инструментов, разрешенных законодательством РФ.</w:t>
      </w:r>
    </w:p>
    <w:p w:rsidR="00A22665" w:rsidRPr="003F6E9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spacing w:after="0" w:line="360" w:lineRule="auto"/>
        <w:ind w:firstLine="709"/>
        <w:jc w:val="both"/>
        <w:rPr>
          <w:rFonts w:ascii="Times New Roman" w:hAnsi="Times New Roman" w:cs="Times New Roman"/>
          <w:i/>
          <w:sz w:val="27"/>
          <w:szCs w:val="27"/>
        </w:rPr>
      </w:pPr>
      <w:r w:rsidRPr="003F6E95">
        <w:rPr>
          <w:rFonts w:ascii="Times New Roman" w:hAnsi="Times New Roman" w:cs="Times New Roman"/>
          <w:i/>
          <w:sz w:val="27"/>
          <w:szCs w:val="27"/>
        </w:rPr>
        <w:t>Акции.</w:t>
      </w:r>
    </w:p>
    <w:p w:rsidR="00A22665" w:rsidRPr="003F6E95" w:rsidRDefault="00A22665" w:rsidP="00A22665">
      <w:pPr>
        <w:spacing w:after="0" w:line="360" w:lineRule="auto"/>
        <w:ind w:firstLine="709"/>
        <w:jc w:val="both"/>
        <w:rPr>
          <w:rFonts w:ascii="Times New Roman" w:hAnsi="Times New Roman" w:cs="Times New Roman"/>
          <w:i/>
          <w:sz w:val="27"/>
          <w:szCs w:val="27"/>
        </w:rPr>
      </w:pP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В условиях кризиса, корреляция между котировками акций существенно увеличивается</w:t>
      </w:r>
      <w:r w:rsidRPr="003F6E95">
        <w:rPr>
          <w:rStyle w:val="a7"/>
          <w:rFonts w:ascii="Times New Roman" w:hAnsi="Times New Roman" w:cs="Times New Roman"/>
          <w:sz w:val="27"/>
          <w:szCs w:val="27"/>
        </w:rPr>
        <w:footnoteReference w:id="13"/>
      </w:r>
      <w:r w:rsidRPr="003F6E95">
        <w:rPr>
          <w:rFonts w:ascii="Times New Roman" w:hAnsi="Times New Roman" w:cs="Times New Roman"/>
          <w:sz w:val="27"/>
          <w:szCs w:val="27"/>
        </w:rPr>
        <w:t xml:space="preserve">, что делает стратегии, основанные на диверсификации портфеля акций неэффективными. Падение индекса, в условиях оттока капитала и увеличенной корреляции, приводит к потерям по данному виду вложений. Увеличение волатильности котировок приводит к существенному увеличению показателя </w:t>
      </w:r>
      <w:r w:rsidRPr="003F6E95">
        <w:rPr>
          <w:rFonts w:ascii="Times New Roman" w:hAnsi="Times New Roman" w:cs="Times New Roman"/>
          <w:sz w:val="27"/>
          <w:szCs w:val="27"/>
          <w:lang w:val="en-US"/>
        </w:rPr>
        <w:t>VAR</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Value</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at</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Risk</w:t>
      </w:r>
      <w:r w:rsidRPr="003F6E95">
        <w:rPr>
          <w:rFonts w:ascii="Times New Roman" w:hAnsi="Times New Roman" w:cs="Times New Roman"/>
          <w:sz w:val="27"/>
          <w:szCs w:val="27"/>
        </w:rPr>
        <w:t>) и закрытию позиций, превышающих лимиты по рискам (в случае наличия таких лимитов). Эффективных инструментов хеджирования фондового риска на российском рынке не имеется. Хеджирование позиций фьючерсами является затруднительным, поскольку данные инструменты недостаточно развиты на Российском рынке (количество инструментов ограничено) и процесс хеджирования будет сопровождаться существенным базисным риском. Приобретение опционов за счет пенсионных резервов и/или пенсионных накоплений нормативными и правовыми актами Российской Федерации запрещается.</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Рассмотрим влияние колебаний котировок фондового индекса ММВБ (</w:t>
      </w:r>
      <w:r w:rsidRPr="003F6E95">
        <w:rPr>
          <w:rFonts w:ascii="Times New Roman" w:eastAsiaTheme="minorEastAsia" w:hAnsi="Times New Roman" w:cs="Times New Roman"/>
          <w:sz w:val="27"/>
          <w:szCs w:val="27"/>
        </w:rPr>
        <w:t>MICEXINDEXCF</w:t>
      </w:r>
      <w:r w:rsidRPr="003F6E95">
        <w:rPr>
          <w:rFonts w:ascii="Times New Roman" w:hAnsi="Times New Roman" w:cs="Times New Roman"/>
          <w:sz w:val="27"/>
          <w:szCs w:val="27"/>
        </w:rPr>
        <w:t xml:space="preserve">) на портфель акций в 2014 году. С этой целью, сформируем модельный портфель акций, состоящий из ценных бумаг, на основе которых Московская биржа ММВБ рассчитывает </w:t>
      </w:r>
      <w:proofErr w:type="spellStart"/>
      <w:r w:rsidRPr="003F6E95">
        <w:rPr>
          <w:rFonts w:ascii="Times New Roman" w:hAnsi="Times New Roman" w:cs="Times New Roman"/>
          <w:sz w:val="27"/>
          <w:szCs w:val="27"/>
        </w:rPr>
        <w:t>субиндекс</w:t>
      </w:r>
      <w:proofErr w:type="spellEnd"/>
      <w:r w:rsidRPr="003F6E95">
        <w:rPr>
          <w:rFonts w:ascii="Times New Roman" w:hAnsi="Times New Roman" w:cs="Times New Roman"/>
          <w:sz w:val="27"/>
          <w:szCs w:val="27"/>
        </w:rPr>
        <w:t xml:space="preserve"> акций индекса пенсионных накоплений (</w:t>
      </w:r>
      <w:r w:rsidRPr="003F6E95">
        <w:rPr>
          <w:rFonts w:ascii="Times New Roman" w:hAnsi="Times New Roman" w:cs="Times New Roman"/>
          <w:sz w:val="27"/>
          <w:szCs w:val="27"/>
          <w:lang w:val="en-US"/>
        </w:rPr>
        <w:t>RUPAI</w:t>
      </w:r>
      <w:r w:rsidRPr="003F6E95">
        <w:rPr>
          <w:rFonts w:ascii="Times New Roman" w:hAnsi="Times New Roman" w:cs="Times New Roman"/>
          <w:sz w:val="27"/>
          <w:szCs w:val="27"/>
        </w:rPr>
        <w:t xml:space="preserve">). Предположим, что состав портфеля акций не меняется, а все акции приобретаются в один день 30.12.2013г. в пропорции согласно весу в </w:t>
      </w:r>
      <w:proofErr w:type="spellStart"/>
      <w:r w:rsidRPr="003F6E95">
        <w:rPr>
          <w:rFonts w:ascii="Times New Roman" w:hAnsi="Times New Roman" w:cs="Times New Roman"/>
          <w:sz w:val="27"/>
          <w:szCs w:val="27"/>
        </w:rPr>
        <w:lastRenderedPageBreak/>
        <w:t>субиндексе</w:t>
      </w:r>
      <w:proofErr w:type="spellEnd"/>
      <w:r w:rsidRPr="003F6E95">
        <w:rPr>
          <w:rFonts w:ascii="Times New Roman" w:hAnsi="Times New Roman" w:cs="Times New Roman"/>
          <w:sz w:val="27"/>
          <w:szCs w:val="27"/>
        </w:rPr>
        <w:t xml:space="preserve"> акций (столбец «Вес, %» </w:t>
      </w:r>
      <w:hyperlink r:id="rId25" w:history="1">
        <w:r w:rsidRPr="003F6E95">
          <w:rPr>
            <w:rStyle w:val="a9"/>
            <w:rFonts w:ascii="Times New Roman" w:hAnsi="Times New Roman"/>
            <w:sz w:val="27"/>
            <w:szCs w:val="27"/>
          </w:rPr>
          <w:t>http://moex.com/a2432</w:t>
        </w:r>
      </w:hyperlink>
      <w:r w:rsidRPr="003F6E95">
        <w:rPr>
          <w:rFonts w:ascii="Times New Roman" w:hAnsi="Times New Roman" w:cs="Times New Roman"/>
          <w:sz w:val="27"/>
          <w:szCs w:val="27"/>
        </w:rPr>
        <w:t xml:space="preserve"> списка ценных бумаг для расчета </w:t>
      </w:r>
      <w:proofErr w:type="spellStart"/>
      <w:r w:rsidRPr="003F6E95">
        <w:rPr>
          <w:rFonts w:ascii="Times New Roman" w:hAnsi="Times New Roman" w:cs="Times New Roman"/>
          <w:sz w:val="27"/>
          <w:szCs w:val="27"/>
        </w:rPr>
        <w:t>субиндекса</w:t>
      </w:r>
      <w:proofErr w:type="spellEnd"/>
      <w:r w:rsidRPr="003F6E95">
        <w:rPr>
          <w:rFonts w:ascii="Times New Roman" w:hAnsi="Times New Roman" w:cs="Times New Roman"/>
          <w:sz w:val="27"/>
          <w:szCs w:val="27"/>
        </w:rPr>
        <w:t xml:space="preserve"> акций с 17.12.2013г.). </w:t>
      </w:r>
    </w:p>
    <w:p w:rsidR="00A22665" w:rsidRDefault="00A22665" w:rsidP="00A22665">
      <w:pPr>
        <w:spacing w:after="0" w:line="360" w:lineRule="auto"/>
        <w:ind w:firstLine="709"/>
        <w:jc w:val="both"/>
        <w:rPr>
          <w:rFonts w:ascii="Times New Roman" w:eastAsiaTheme="minorEastAsia" w:hAnsi="Times New Roman" w:cs="Times New Roman"/>
          <w:sz w:val="27"/>
          <w:szCs w:val="27"/>
        </w:rPr>
      </w:pPr>
      <w:r w:rsidRPr="003F6E95">
        <w:rPr>
          <w:rFonts w:ascii="Times New Roman" w:hAnsi="Times New Roman" w:cs="Times New Roman"/>
          <w:sz w:val="27"/>
          <w:szCs w:val="27"/>
        </w:rPr>
        <w:t xml:space="preserve">Рассмотрим динамику показателя </w:t>
      </w:r>
      <m:oMath>
        <m:r>
          <w:rPr>
            <w:rFonts w:ascii="Cambria Math" w:hAnsi="Cambria Math" w:cs="Times New Roman"/>
            <w:sz w:val="27"/>
            <w:szCs w:val="27"/>
          </w:rPr>
          <m:t>β</m:t>
        </m:r>
        <m:r>
          <w:rPr>
            <w:rStyle w:val="a7"/>
            <w:rFonts w:ascii="Cambria Math" w:hAnsi="Cambria Math" w:cs="Times New Roman"/>
            <w:i/>
            <w:sz w:val="27"/>
            <w:szCs w:val="27"/>
          </w:rPr>
          <w:footnoteReference w:id="14"/>
        </m:r>
      </m:oMath>
      <w:r w:rsidRPr="003F6E95">
        <w:rPr>
          <w:rFonts w:ascii="Times New Roman" w:eastAsiaTheme="minorEastAsia" w:hAnsi="Times New Roman" w:cs="Times New Roman"/>
          <w:sz w:val="27"/>
          <w:szCs w:val="27"/>
        </w:rPr>
        <w:t xml:space="preserve"> портфеля (чувствительность к изменению индекса ММВБ) с 06/01/2014г. по 31/03/2015г.</w:t>
      </w:r>
    </w:p>
    <w:p w:rsidR="00A22665" w:rsidRPr="003F6E95" w:rsidRDefault="00A22665" w:rsidP="00A22665">
      <w:pPr>
        <w:spacing w:after="120"/>
        <w:ind w:firstLine="567"/>
        <w:jc w:val="both"/>
        <w:rPr>
          <w:rFonts w:ascii="Times New Roman" w:eastAsiaTheme="minorEastAsia" w:hAnsi="Times New Roman" w:cs="Times New Roman"/>
          <w:sz w:val="27"/>
          <w:szCs w:val="27"/>
        </w:rPr>
      </w:pPr>
    </w:p>
    <w:p w:rsidR="00A22665" w:rsidRDefault="00A22665" w:rsidP="00A22665">
      <w:pPr>
        <w:spacing w:after="0"/>
        <w:jc w:val="both"/>
        <w:rPr>
          <w:rFonts w:ascii="Times New Roman" w:hAnsi="Times New Roman" w:cs="Times New Roman"/>
          <w:i/>
        </w:rPr>
      </w:pPr>
      <w:r>
        <w:rPr>
          <w:noProof/>
          <w:lang w:eastAsia="ru-RU"/>
        </w:rPr>
        <w:drawing>
          <wp:inline distT="0" distB="0" distL="0" distR="0" wp14:anchorId="33958B61" wp14:editId="0B10E095">
            <wp:extent cx="6273165" cy="2552700"/>
            <wp:effectExtent l="19050" t="0" r="13335"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22665" w:rsidRDefault="00A22665" w:rsidP="00A22665">
      <w:pPr>
        <w:spacing w:after="120"/>
        <w:jc w:val="both"/>
        <w:rPr>
          <w:rFonts w:ascii="Times New Roman" w:hAnsi="Times New Roman" w:cs="Times New Roman"/>
          <w:sz w:val="20"/>
          <w:szCs w:val="20"/>
        </w:rPr>
      </w:pPr>
      <w:r w:rsidRPr="00FD5CBC">
        <w:rPr>
          <w:rFonts w:ascii="Times New Roman" w:hAnsi="Times New Roman" w:cs="Times New Roman"/>
          <w:sz w:val="20"/>
          <w:szCs w:val="20"/>
        </w:rPr>
        <w:t>Рис</w:t>
      </w:r>
      <w:r>
        <w:rPr>
          <w:rFonts w:ascii="Times New Roman" w:hAnsi="Times New Roman" w:cs="Times New Roman"/>
          <w:sz w:val="20"/>
          <w:szCs w:val="20"/>
        </w:rPr>
        <w:t>.</w:t>
      </w:r>
      <w:r w:rsidRPr="00FD5CBC">
        <w:rPr>
          <w:rFonts w:ascii="Times New Roman" w:hAnsi="Times New Roman" w:cs="Times New Roman"/>
          <w:sz w:val="20"/>
          <w:szCs w:val="20"/>
        </w:rPr>
        <w:t xml:space="preserve"> 1: </w:t>
      </w:r>
      <w:r>
        <w:rPr>
          <w:rFonts w:ascii="Times New Roman" w:hAnsi="Times New Roman" w:cs="Times New Roman"/>
          <w:sz w:val="20"/>
          <w:szCs w:val="20"/>
        </w:rPr>
        <w:t xml:space="preserve">динамика </w:t>
      </w:r>
      <w:r w:rsidRPr="00FD5CBC">
        <w:rPr>
          <w:rFonts w:ascii="Times New Roman" w:hAnsi="Times New Roman" w:cs="Times New Roman"/>
          <w:sz w:val="20"/>
          <w:szCs w:val="20"/>
        </w:rPr>
        <w:t>чувствительности портфеля</w:t>
      </w:r>
      <w:r>
        <w:rPr>
          <w:rFonts w:ascii="Times New Roman" w:hAnsi="Times New Roman" w:cs="Times New Roman"/>
          <w:sz w:val="20"/>
          <w:szCs w:val="20"/>
        </w:rPr>
        <w:t xml:space="preserve"> и</w:t>
      </w:r>
      <w:r w:rsidRPr="00FD5CBC">
        <w:rPr>
          <w:rFonts w:ascii="Times New Roman" w:hAnsi="Times New Roman" w:cs="Times New Roman"/>
          <w:sz w:val="20"/>
          <w:szCs w:val="20"/>
        </w:rPr>
        <w:t xml:space="preserve"> фондового индекса.</w:t>
      </w:r>
    </w:p>
    <w:p w:rsidR="00A22665" w:rsidRPr="00FD5CBC" w:rsidRDefault="00A22665" w:rsidP="00A22665">
      <w:pPr>
        <w:spacing w:after="120"/>
        <w:jc w:val="both"/>
        <w:rPr>
          <w:rFonts w:ascii="Times New Roman" w:hAnsi="Times New Roman" w:cs="Times New Roman"/>
          <w:sz w:val="20"/>
          <w:szCs w:val="20"/>
        </w:rPr>
      </w:pP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На рисунке 1 можно видеть, что в период падения индекса зависимость модельного портфеля от индекса увеличивается. Так в марте 2014 года, когда индекс ММВБ прошел отметку в 1300 (13.03.2014г. – 1248.56) значение коэффициента бета портфеля превысило 0,7.</w:t>
      </w:r>
    </w:p>
    <w:p w:rsidR="00A2266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 xml:space="preserve">Рассмотрим динамику показателя </w:t>
      </w:r>
      <w:r w:rsidRPr="003F6E95">
        <w:rPr>
          <w:rFonts w:ascii="Times New Roman" w:hAnsi="Times New Roman" w:cs="Times New Roman"/>
          <w:sz w:val="27"/>
          <w:szCs w:val="27"/>
          <w:lang w:val="en-US"/>
        </w:rPr>
        <w:t>VAR</w:t>
      </w:r>
      <w:r w:rsidRPr="003F6E95">
        <w:rPr>
          <w:rStyle w:val="a7"/>
          <w:rFonts w:ascii="Times New Roman" w:hAnsi="Times New Roman" w:cs="Times New Roman"/>
          <w:sz w:val="27"/>
          <w:szCs w:val="27"/>
          <w:lang w:val="en-US"/>
        </w:rPr>
        <w:footnoteReference w:id="15"/>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Value</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at</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Risk</w:t>
      </w:r>
      <w:r w:rsidRPr="003F6E95">
        <w:rPr>
          <w:rFonts w:ascii="Times New Roman" w:hAnsi="Times New Roman" w:cs="Times New Roman"/>
          <w:sz w:val="27"/>
          <w:szCs w:val="27"/>
        </w:rPr>
        <w:t>) модельного портфеля за тот же период:</w:t>
      </w:r>
    </w:p>
    <w:p w:rsidR="00A22665" w:rsidRPr="003F6E95" w:rsidRDefault="00A22665" w:rsidP="00A22665">
      <w:pPr>
        <w:spacing w:after="120"/>
        <w:ind w:firstLine="567"/>
        <w:jc w:val="both"/>
        <w:rPr>
          <w:rFonts w:ascii="Times New Roman" w:hAnsi="Times New Roman" w:cs="Times New Roman"/>
          <w:sz w:val="27"/>
          <w:szCs w:val="27"/>
        </w:rPr>
      </w:pPr>
    </w:p>
    <w:p w:rsidR="00A22665" w:rsidRPr="00F24058" w:rsidRDefault="00A22665" w:rsidP="00A22665">
      <w:pPr>
        <w:spacing w:after="0"/>
        <w:jc w:val="both"/>
        <w:rPr>
          <w:rFonts w:ascii="Times New Roman" w:hAnsi="Times New Roman" w:cs="Times New Roman"/>
        </w:rPr>
      </w:pPr>
      <w:r w:rsidRPr="00E72956">
        <w:rPr>
          <w:rFonts w:ascii="Times New Roman" w:hAnsi="Times New Roman" w:cs="Times New Roman"/>
          <w:noProof/>
          <w:lang w:eastAsia="ru-RU"/>
        </w:rPr>
        <w:lastRenderedPageBreak/>
        <w:drawing>
          <wp:inline distT="0" distB="0" distL="0" distR="0" wp14:anchorId="401BDF0C" wp14:editId="08489EF0">
            <wp:extent cx="6254115" cy="2828925"/>
            <wp:effectExtent l="19050" t="0" r="1333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22665" w:rsidRDefault="00A22665" w:rsidP="00A22665">
      <w:pPr>
        <w:spacing w:after="120"/>
        <w:jc w:val="both"/>
        <w:rPr>
          <w:rFonts w:ascii="Times New Roman" w:hAnsi="Times New Roman" w:cs="Times New Roman"/>
          <w:sz w:val="20"/>
          <w:szCs w:val="20"/>
        </w:rPr>
      </w:pPr>
      <w:r w:rsidRPr="00FD5CBC">
        <w:rPr>
          <w:rFonts w:ascii="Times New Roman" w:hAnsi="Times New Roman" w:cs="Times New Roman"/>
          <w:sz w:val="20"/>
          <w:szCs w:val="20"/>
        </w:rPr>
        <w:t>Рис</w:t>
      </w:r>
      <w:r>
        <w:rPr>
          <w:rFonts w:ascii="Times New Roman" w:hAnsi="Times New Roman" w:cs="Times New Roman"/>
          <w:sz w:val="20"/>
          <w:szCs w:val="20"/>
        </w:rPr>
        <w:t>.</w:t>
      </w:r>
      <w:r w:rsidRPr="00FD5CBC">
        <w:rPr>
          <w:rFonts w:ascii="Times New Roman" w:hAnsi="Times New Roman" w:cs="Times New Roman"/>
          <w:sz w:val="20"/>
          <w:szCs w:val="20"/>
        </w:rPr>
        <w:t xml:space="preserve"> 2:</w:t>
      </w:r>
      <w:r>
        <w:rPr>
          <w:rFonts w:ascii="Times New Roman" w:hAnsi="Times New Roman" w:cs="Times New Roman"/>
          <w:sz w:val="20"/>
          <w:szCs w:val="20"/>
        </w:rPr>
        <w:t xml:space="preserve"> динамика показателя VAR и</w:t>
      </w:r>
      <w:r w:rsidRPr="00FD5CBC">
        <w:rPr>
          <w:rFonts w:ascii="Times New Roman" w:hAnsi="Times New Roman" w:cs="Times New Roman"/>
          <w:sz w:val="20"/>
          <w:szCs w:val="20"/>
        </w:rPr>
        <w:t xml:space="preserve"> фондового индекса.</w:t>
      </w:r>
    </w:p>
    <w:p w:rsidR="00A22665" w:rsidRPr="00FD5CBC" w:rsidRDefault="00A22665" w:rsidP="00A22665">
      <w:pPr>
        <w:spacing w:after="120"/>
        <w:jc w:val="both"/>
        <w:rPr>
          <w:rFonts w:ascii="Times New Roman" w:hAnsi="Times New Roman" w:cs="Times New Roman"/>
          <w:sz w:val="20"/>
          <w:szCs w:val="20"/>
        </w:rPr>
      </w:pPr>
    </w:p>
    <w:p w:rsidR="00A2266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Как можно видеть на рисунке 2, в марте и декабре 2014 года годовой </w:t>
      </w:r>
      <w:r w:rsidRPr="003F6E95">
        <w:rPr>
          <w:rFonts w:ascii="Times New Roman" w:hAnsi="Times New Roman" w:cs="Times New Roman"/>
          <w:sz w:val="27"/>
          <w:szCs w:val="27"/>
          <w:lang w:val="en-US"/>
        </w:rPr>
        <w:t>VAR</w:t>
      </w:r>
      <w:r w:rsidRPr="003F6E95">
        <w:rPr>
          <w:rFonts w:ascii="Times New Roman" w:hAnsi="Times New Roman" w:cs="Times New Roman"/>
          <w:sz w:val="27"/>
          <w:szCs w:val="27"/>
        </w:rPr>
        <w:t xml:space="preserve"> превысил объем равный половине модельного портфеля.</w:t>
      </w:r>
    </w:p>
    <w:p w:rsidR="00A22665" w:rsidRPr="003F6E9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spacing w:after="0" w:line="360" w:lineRule="auto"/>
        <w:ind w:firstLine="709"/>
        <w:jc w:val="both"/>
        <w:rPr>
          <w:rFonts w:ascii="Times New Roman" w:hAnsi="Times New Roman" w:cs="Times New Roman"/>
          <w:i/>
          <w:sz w:val="27"/>
          <w:szCs w:val="27"/>
        </w:rPr>
      </w:pPr>
      <w:r w:rsidRPr="003F6E95">
        <w:rPr>
          <w:rFonts w:ascii="Times New Roman" w:hAnsi="Times New Roman" w:cs="Times New Roman"/>
          <w:i/>
          <w:sz w:val="27"/>
          <w:szCs w:val="27"/>
        </w:rPr>
        <w:t>Облигации.</w:t>
      </w:r>
    </w:p>
    <w:p w:rsidR="00A22665" w:rsidRPr="003F6E95" w:rsidRDefault="00A22665" w:rsidP="00A22665">
      <w:pPr>
        <w:spacing w:after="0" w:line="360" w:lineRule="auto"/>
        <w:ind w:firstLine="709"/>
        <w:jc w:val="both"/>
        <w:rPr>
          <w:rFonts w:ascii="Times New Roman" w:hAnsi="Times New Roman" w:cs="Times New Roman"/>
          <w:i/>
          <w:sz w:val="27"/>
          <w:szCs w:val="27"/>
        </w:rPr>
      </w:pP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В условиях кризиса облигационная часть инвестиционного портфеля подвержена коррекции ввиду роста процентных ставок, увеличения кредитных рисков эмитентов и снижения ликвидности «длинных» облигаций. </w:t>
      </w:r>
      <w:proofErr w:type="spellStart"/>
      <w:r w:rsidRPr="003F6E95">
        <w:rPr>
          <w:rFonts w:ascii="Times New Roman" w:hAnsi="Times New Roman" w:cs="Times New Roman"/>
          <w:sz w:val="27"/>
          <w:szCs w:val="27"/>
        </w:rPr>
        <w:t>Аллокация</w:t>
      </w:r>
      <w:proofErr w:type="spellEnd"/>
      <w:r w:rsidRPr="003F6E95">
        <w:rPr>
          <w:rFonts w:ascii="Times New Roman" w:hAnsi="Times New Roman" w:cs="Times New Roman"/>
          <w:sz w:val="27"/>
          <w:szCs w:val="27"/>
        </w:rPr>
        <w:t xml:space="preserve"> активов становится затруднительной и более дорогостоящей. </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Рост процентных ставок во время кризиса во многом обусловлен проблемами в банковском секторе. Сложности в привлечении краткосрочной ликвидности вынуждают кредитные организации повышать ставки по привлечению сре</w:t>
      </w:r>
      <w:proofErr w:type="gramStart"/>
      <w:r w:rsidRPr="003F6E95">
        <w:rPr>
          <w:rFonts w:ascii="Times New Roman" w:hAnsi="Times New Roman" w:cs="Times New Roman"/>
          <w:sz w:val="27"/>
          <w:szCs w:val="27"/>
        </w:rPr>
        <w:t>дств дл</w:t>
      </w:r>
      <w:proofErr w:type="gramEnd"/>
      <w:r w:rsidRPr="003F6E95">
        <w:rPr>
          <w:rFonts w:ascii="Times New Roman" w:hAnsi="Times New Roman" w:cs="Times New Roman"/>
          <w:sz w:val="27"/>
          <w:szCs w:val="27"/>
        </w:rPr>
        <w:t xml:space="preserve">я выполнения текущих обязательств, что в свою очередь заставляет рынок пересматривать доходности более коротких инструментов, приводя к изменению кривой процентных ставок и к дальнейшему осложнению в привлечении краткосрочной ликвидности. Рост краткосрочных процентных ставок приводит к снижению стоимости соответствующих облигаций, поскольку у инвесторов появляются альтернативные направления инвестирования под более высокие проценты. Стоимость длинных облигаций также снижается ввиду того, что инвесторы, желают получить дополнительные бонусы за покупку более длинных и </w:t>
      </w:r>
      <w:r w:rsidRPr="003F6E95">
        <w:rPr>
          <w:rFonts w:ascii="Times New Roman" w:hAnsi="Times New Roman" w:cs="Times New Roman"/>
          <w:sz w:val="27"/>
          <w:szCs w:val="27"/>
        </w:rPr>
        <w:lastRenderedPageBreak/>
        <w:t xml:space="preserve">менее ликвидных бумаг. Проблемы с ликвидностью в кредитных организациях способствуют ухудшению ситуации на фондовом рынке, поскольку вынуждают банки реализовывать свои активы по заниженным ценам. «Дорогие» кредиты ухудшают финансовую устойчивость эмитентов, что приводит к снижению кредитных рейтингов и к дальнейшему снижению стоимости облигаций ввиду желания инвесторов получать дополнительное вознаграждение за увеличивающиеся риски. </w:t>
      </w:r>
    </w:p>
    <w:p w:rsidR="00A2266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Рассмотрим структуры процентных ставок (</w:t>
      </w:r>
      <w:r w:rsidRPr="003F6E95">
        <w:rPr>
          <w:rFonts w:ascii="Times New Roman" w:hAnsi="Times New Roman" w:cs="Times New Roman"/>
          <w:sz w:val="27"/>
          <w:szCs w:val="27"/>
          <w:lang w:val="en-US"/>
        </w:rPr>
        <w:t>G</w:t>
      </w:r>
      <w:r w:rsidRPr="003F6E95">
        <w:rPr>
          <w:rFonts w:ascii="Times New Roman" w:hAnsi="Times New Roman" w:cs="Times New Roman"/>
          <w:sz w:val="27"/>
          <w:szCs w:val="27"/>
        </w:rPr>
        <w:t xml:space="preserve"> - кривая) на 30.06.2008, 30.03.2009, 30.06.2014 и 29.12.2014:</w:t>
      </w:r>
    </w:p>
    <w:p w:rsidR="00A22665" w:rsidRPr="003F6E9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spacing w:after="0"/>
        <w:jc w:val="both"/>
        <w:rPr>
          <w:rFonts w:ascii="Times New Roman" w:hAnsi="Times New Roman" w:cs="Times New Roman"/>
        </w:rPr>
      </w:pPr>
      <w:r>
        <w:rPr>
          <w:noProof/>
          <w:lang w:eastAsia="ru-RU"/>
        </w:rPr>
        <w:drawing>
          <wp:inline distT="0" distB="0" distL="0" distR="0" wp14:anchorId="5A7AD80E" wp14:editId="35BF8740">
            <wp:extent cx="6276975" cy="2581275"/>
            <wp:effectExtent l="0" t="0" r="9525"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22665" w:rsidRDefault="00A22665" w:rsidP="00A22665">
      <w:pPr>
        <w:spacing w:after="120"/>
        <w:jc w:val="both"/>
        <w:rPr>
          <w:rFonts w:ascii="Times New Roman" w:hAnsi="Times New Roman" w:cs="Times New Roman"/>
          <w:sz w:val="20"/>
          <w:szCs w:val="20"/>
        </w:rPr>
      </w:pPr>
      <w:r w:rsidRPr="007724E6">
        <w:rPr>
          <w:rFonts w:ascii="Times New Roman" w:hAnsi="Times New Roman" w:cs="Times New Roman"/>
          <w:sz w:val="20"/>
          <w:szCs w:val="20"/>
        </w:rPr>
        <w:t>Рис. 3: структуры процентных ставок (</w:t>
      </w:r>
      <w:r w:rsidRPr="007724E6">
        <w:rPr>
          <w:rFonts w:ascii="Times New Roman" w:hAnsi="Times New Roman" w:cs="Times New Roman"/>
          <w:sz w:val="20"/>
          <w:szCs w:val="20"/>
          <w:lang w:val="en-US"/>
        </w:rPr>
        <w:t>G</w:t>
      </w:r>
      <w:r w:rsidRPr="007724E6">
        <w:rPr>
          <w:rFonts w:ascii="Times New Roman" w:hAnsi="Times New Roman" w:cs="Times New Roman"/>
          <w:sz w:val="20"/>
          <w:szCs w:val="20"/>
        </w:rPr>
        <w:t xml:space="preserve"> - кривая) на 30.06.2008, 30.03.2009, 30.06.2014 и 29.12.2014. </w:t>
      </w:r>
    </w:p>
    <w:p w:rsidR="00A22665" w:rsidRPr="007724E6" w:rsidRDefault="00A22665" w:rsidP="00A22665">
      <w:pPr>
        <w:spacing w:after="120"/>
        <w:jc w:val="both"/>
        <w:rPr>
          <w:rFonts w:ascii="Times New Roman" w:hAnsi="Times New Roman" w:cs="Times New Roman"/>
          <w:sz w:val="20"/>
          <w:szCs w:val="20"/>
        </w:rPr>
      </w:pP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 xml:space="preserve">На рисунке можно видеть, как изменяются структуры процентных ставок в условиях кризиса. Рост краткосрочных ставок, за соответствующие периоды, превышал 600 </w:t>
      </w:r>
      <w:proofErr w:type="spellStart"/>
      <w:r w:rsidRPr="003F6E95">
        <w:rPr>
          <w:rFonts w:ascii="Times New Roman" w:hAnsi="Times New Roman" w:cs="Times New Roman"/>
          <w:sz w:val="27"/>
          <w:szCs w:val="27"/>
        </w:rPr>
        <w:t>б.п</w:t>
      </w:r>
      <w:proofErr w:type="spellEnd"/>
      <w:r w:rsidRPr="003F6E95">
        <w:rPr>
          <w:rFonts w:ascii="Times New Roman" w:hAnsi="Times New Roman" w:cs="Times New Roman"/>
          <w:sz w:val="27"/>
          <w:szCs w:val="27"/>
        </w:rPr>
        <w:t>. Более сильный сдвиг кривой в 2014 году (по сравнению с 2008 годом) может быть обусловлен одновременно несколькими факторами: ограничением доступа кредитных организаций к финансовым рынкам США и ЕС, девальвацией рубля и оттоком капитала.</w:t>
      </w: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 xml:space="preserve">Проблему ликвидности в кредитных организациях попытались учесть при создании </w:t>
      </w:r>
      <w:r w:rsidRPr="003F6E95">
        <w:rPr>
          <w:rFonts w:ascii="Times New Roman" w:hAnsi="Times New Roman" w:cs="Times New Roman"/>
          <w:sz w:val="27"/>
          <w:szCs w:val="27"/>
          <w:lang w:val="en-US"/>
        </w:rPr>
        <w:t>Basel</w:t>
      </w:r>
      <w:r w:rsidRPr="003F6E95">
        <w:rPr>
          <w:rFonts w:ascii="Times New Roman" w:hAnsi="Times New Roman" w:cs="Times New Roman"/>
          <w:sz w:val="27"/>
          <w:szCs w:val="27"/>
        </w:rPr>
        <w:t xml:space="preserve"> 3 (</w:t>
      </w:r>
      <w:r w:rsidRPr="003F6E95">
        <w:rPr>
          <w:rFonts w:ascii="Times New Roman" w:hAnsi="Times New Roman" w:cs="Times New Roman"/>
          <w:sz w:val="27"/>
          <w:szCs w:val="27"/>
          <w:lang w:val="en-US"/>
        </w:rPr>
        <w:t>Liquidity</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Coverage</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Ratio</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Net</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Stable</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Funding</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Ratio</w:t>
      </w:r>
      <w:r w:rsidRPr="003F6E95">
        <w:rPr>
          <w:rFonts w:ascii="Times New Roman" w:hAnsi="Times New Roman" w:cs="Times New Roman"/>
          <w:sz w:val="27"/>
          <w:szCs w:val="27"/>
        </w:rPr>
        <w:t xml:space="preserve">), внедрение которого в настоящее время осуществляется в Российской Федерации. Согласно плану внедрения показатель краткосрочной ликвидности должен быть внедрен до </w:t>
      </w:r>
      <w:r w:rsidRPr="003F6E95">
        <w:rPr>
          <w:rFonts w:ascii="Times New Roman" w:hAnsi="Times New Roman" w:cs="Times New Roman"/>
          <w:sz w:val="27"/>
          <w:szCs w:val="27"/>
        </w:rPr>
        <w:lastRenderedPageBreak/>
        <w:t>конца 2015 года, а показатель чистого стабильного фондирования только в 2018 году. Формирование буфера консервации капитала (</w:t>
      </w:r>
      <w:r w:rsidRPr="003F6E95">
        <w:rPr>
          <w:rFonts w:ascii="Times New Roman" w:hAnsi="Times New Roman" w:cs="Times New Roman"/>
          <w:sz w:val="27"/>
          <w:szCs w:val="27"/>
          <w:lang w:val="en-US"/>
        </w:rPr>
        <w:t>Capital</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conservation</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buffer</w:t>
      </w:r>
      <w:r w:rsidRPr="003F6E95">
        <w:rPr>
          <w:rFonts w:ascii="Times New Roman" w:hAnsi="Times New Roman" w:cs="Times New Roman"/>
          <w:sz w:val="27"/>
          <w:szCs w:val="27"/>
        </w:rPr>
        <w:t xml:space="preserve">) </w:t>
      </w:r>
      <w:proofErr w:type="gramStart"/>
      <w:r w:rsidRPr="003F6E95">
        <w:rPr>
          <w:rFonts w:ascii="Times New Roman" w:hAnsi="Times New Roman" w:cs="Times New Roman"/>
          <w:sz w:val="27"/>
          <w:szCs w:val="27"/>
        </w:rPr>
        <w:t>станет необходимым для российских кредитных организаций начиная</w:t>
      </w:r>
      <w:proofErr w:type="gramEnd"/>
      <w:r w:rsidRPr="003F6E95">
        <w:rPr>
          <w:rFonts w:ascii="Times New Roman" w:hAnsi="Times New Roman" w:cs="Times New Roman"/>
          <w:sz w:val="27"/>
          <w:szCs w:val="27"/>
        </w:rPr>
        <w:t xml:space="preserve"> с 2016 года.</w:t>
      </w: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 xml:space="preserve">Рассмотрим поведение котировок облигаций российских хозяйственных обществ в условиях неустойчивой рыночной конъюнктуры 2014 года. С этой целью, сформируем модельный портфель облигаций, состоящий из ценных бумаг, на основе которых Московская биржа ММВБ рассчитывает </w:t>
      </w:r>
      <w:proofErr w:type="spellStart"/>
      <w:r w:rsidRPr="003F6E95">
        <w:rPr>
          <w:rFonts w:ascii="Times New Roman" w:hAnsi="Times New Roman" w:cs="Times New Roman"/>
          <w:sz w:val="27"/>
          <w:szCs w:val="27"/>
        </w:rPr>
        <w:t>субиндекс</w:t>
      </w:r>
      <w:proofErr w:type="spellEnd"/>
      <w:r w:rsidRPr="003F6E95">
        <w:rPr>
          <w:rFonts w:ascii="Times New Roman" w:hAnsi="Times New Roman" w:cs="Times New Roman"/>
          <w:sz w:val="27"/>
          <w:szCs w:val="27"/>
        </w:rPr>
        <w:t xml:space="preserve"> облигаций индексов пенсионных накоплений (</w:t>
      </w:r>
      <w:r w:rsidRPr="003F6E95">
        <w:rPr>
          <w:rFonts w:ascii="Times New Roman" w:hAnsi="Times New Roman" w:cs="Times New Roman"/>
          <w:sz w:val="27"/>
          <w:szCs w:val="27"/>
          <w:lang w:val="en-US"/>
        </w:rPr>
        <w:t>RUPAI</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RUPMI</w:t>
      </w:r>
      <w:r w:rsidRPr="003F6E95">
        <w:rPr>
          <w:rFonts w:ascii="Times New Roman" w:hAnsi="Times New Roman" w:cs="Times New Roman"/>
          <w:sz w:val="27"/>
          <w:szCs w:val="27"/>
        </w:rPr>
        <w:t xml:space="preserve"> и </w:t>
      </w:r>
      <w:r w:rsidRPr="003F6E95">
        <w:rPr>
          <w:rFonts w:ascii="Times New Roman" w:hAnsi="Times New Roman" w:cs="Times New Roman"/>
          <w:sz w:val="27"/>
          <w:szCs w:val="27"/>
          <w:lang w:val="en-US"/>
        </w:rPr>
        <w:t>RUPCI</w:t>
      </w:r>
      <w:r w:rsidRPr="003F6E95">
        <w:rPr>
          <w:rFonts w:ascii="Times New Roman" w:hAnsi="Times New Roman" w:cs="Times New Roman"/>
          <w:sz w:val="27"/>
          <w:szCs w:val="27"/>
        </w:rPr>
        <w:t xml:space="preserve">). Предположим, что состав портфеля облигаций меняется в соответствии с изменением списка облигаций, применяемых при расчете </w:t>
      </w:r>
      <w:proofErr w:type="spellStart"/>
      <w:r w:rsidRPr="003F6E95">
        <w:rPr>
          <w:rFonts w:ascii="Times New Roman" w:hAnsi="Times New Roman" w:cs="Times New Roman"/>
          <w:sz w:val="27"/>
          <w:szCs w:val="27"/>
        </w:rPr>
        <w:t>субиндекса</w:t>
      </w:r>
      <w:proofErr w:type="spellEnd"/>
      <w:r w:rsidRPr="003F6E95">
        <w:rPr>
          <w:rFonts w:ascii="Times New Roman" w:hAnsi="Times New Roman" w:cs="Times New Roman"/>
          <w:sz w:val="27"/>
          <w:szCs w:val="27"/>
        </w:rPr>
        <w:t xml:space="preserve"> облигаций (17.12.2013г., 18.03.2014г., 17.06.2014г., 16.09.2014г., 16.12.2014г., 17.03.2015г. </w:t>
      </w:r>
      <w:hyperlink r:id="rId29" w:history="1">
        <w:r w:rsidRPr="003F6E95">
          <w:rPr>
            <w:rStyle w:val="a9"/>
            <w:rFonts w:ascii="Times New Roman" w:hAnsi="Times New Roman"/>
            <w:sz w:val="27"/>
            <w:szCs w:val="27"/>
          </w:rPr>
          <w:t>http://moex.com/a1391</w:t>
        </w:r>
      </w:hyperlink>
      <w:r w:rsidRPr="003F6E95">
        <w:rPr>
          <w:rFonts w:ascii="Times New Roman" w:hAnsi="Times New Roman" w:cs="Times New Roman"/>
          <w:sz w:val="27"/>
          <w:szCs w:val="27"/>
        </w:rPr>
        <w:t xml:space="preserve">). Вес каждого выпуска облигаций в портфеле принимается </w:t>
      </w:r>
      <w:proofErr w:type="gramStart"/>
      <w:r w:rsidRPr="003F6E95">
        <w:rPr>
          <w:rFonts w:ascii="Times New Roman" w:hAnsi="Times New Roman" w:cs="Times New Roman"/>
          <w:sz w:val="27"/>
          <w:szCs w:val="27"/>
        </w:rPr>
        <w:t>равным</w:t>
      </w:r>
      <w:proofErr w:type="gramEnd"/>
      <w:r w:rsidRPr="003F6E95">
        <w:rPr>
          <w:rFonts w:ascii="Times New Roman" w:hAnsi="Times New Roman" w:cs="Times New Roman"/>
          <w:sz w:val="27"/>
          <w:szCs w:val="27"/>
        </w:rPr>
        <w:t xml:space="preserve"> весу таких облигаций в </w:t>
      </w:r>
      <w:proofErr w:type="spellStart"/>
      <w:r w:rsidRPr="003F6E95">
        <w:rPr>
          <w:rFonts w:ascii="Times New Roman" w:hAnsi="Times New Roman" w:cs="Times New Roman"/>
          <w:sz w:val="27"/>
          <w:szCs w:val="27"/>
        </w:rPr>
        <w:t>субиндексе</w:t>
      </w:r>
      <w:proofErr w:type="spellEnd"/>
      <w:r w:rsidRPr="003F6E95">
        <w:rPr>
          <w:rFonts w:ascii="Times New Roman" w:hAnsi="Times New Roman" w:cs="Times New Roman"/>
          <w:sz w:val="27"/>
          <w:szCs w:val="27"/>
        </w:rPr>
        <w:t xml:space="preserve"> облигаций. </w:t>
      </w:r>
    </w:p>
    <w:p w:rsidR="00A2266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 xml:space="preserve">Рассмотрим изменение </w:t>
      </w:r>
      <w:proofErr w:type="spellStart"/>
      <w:r w:rsidRPr="003F6E95">
        <w:rPr>
          <w:rFonts w:ascii="Times New Roman" w:hAnsi="Times New Roman" w:cs="Times New Roman"/>
          <w:sz w:val="27"/>
          <w:szCs w:val="27"/>
        </w:rPr>
        <w:t>дюрации</w:t>
      </w:r>
      <w:proofErr w:type="spellEnd"/>
      <w:r w:rsidRPr="003F6E95">
        <w:rPr>
          <w:rFonts w:ascii="Times New Roman" w:hAnsi="Times New Roman" w:cs="Times New Roman"/>
          <w:sz w:val="27"/>
          <w:szCs w:val="27"/>
        </w:rPr>
        <w:t xml:space="preserve"> модельного портфеля с учетом изменения списка и веса облигаций входящих в состав </w:t>
      </w:r>
      <w:proofErr w:type="spellStart"/>
      <w:r w:rsidRPr="003F6E95">
        <w:rPr>
          <w:rFonts w:ascii="Times New Roman" w:hAnsi="Times New Roman" w:cs="Times New Roman"/>
          <w:sz w:val="27"/>
          <w:szCs w:val="27"/>
        </w:rPr>
        <w:t>субиндекса</w:t>
      </w:r>
      <w:proofErr w:type="spellEnd"/>
      <w:r w:rsidRPr="003F6E95">
        <w:rPr>
          <w:rFonts w:ascii="Times New Roman" w:hAnsi="Times New Roman" w:cs="Times New Roman"/>
          <w:sz w:val="27"/>
          <w:szCs w:val="27"/>
        </w:rPr>
        <w:t xml:space="preserve"> облигаций и изменение ликвидности модельного портфеля (изменение показателя </w:t>
      </w:r>
      <w:r w:rsidRPr="003F6E95">
        <w:rPr>
          <w:rFonts w:ascii="Times New Roman" w:hAnsi="Times New Roman" w:cs="Times New Roman"/>
          <w:sz w:val="27"/>
          <w:szCs w:val="27"/>
          <w:lang w:val="en-US"/>
        </w:rPr>
        <w:t>Liquidity</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cost</w:t>
      </w:r>
      <w:r w:rsidRPr="003F6E95">
        <w:rPr>
          <w:rStyle w:val="a7"/>
          <w:rFonts w:ascii="Times New Roman" w:hAnsi="Times New Roman" w:cs="Times New Roman"/>
          <w:sz w:val="27"/>
          <w:szCs w:val="27"/>
          <w:lang w:val="en-US"/>
        </w:rPr>
        <w:footnoteReference w:id="16"/>
      </w:r>
      <w:r w:rsidRPr="003F6E95">
        <w:rPr>
          <w:rFonts w:ascii="Times New Roman" w:hAnsi="Times New Roman" w:cs="Times New Roman"/>
          <w:sz w:val="27"/>
          <w:szCs w:val="27"/>
        </w:rPr>
        <w:t>) в условиях ухудшения финансово-экономического состояния в стране.</w:t>
      </w:r>
    </w:p>
    <w:p w:rsidR="00A22665" w:rsidRPr="003F6E95" w:rsidRDefault="00A22665" w:rsidP="00A22665">
      <w:pPr>
        <w:spacing w:after="0" w:line="360" w:lineRule="auto"/>
        <w:ind w:firstLine="567"/>
        <w:jc w:val="both"/>
        <w:rPr>
          <w:rFonts w:ascii="Times New Roman" w:hAnsi="Times New Roman" w:cs="Times New Roman"/>
          <w:sz w:val="27"/>
          <w:szCs w:val="27"/>
        </w:rPr>
      </w:pPr>
    </w:p>
    <w:p w:rsidR="00A22665" w:rsidRDefault="00A22665" w:rsidP="00A22665">
      <w:pPr>
        <w:spacing w:after="0"/>
        <w:jc w:val="both"/>
        <w:rPr>
          <w:rFonts w:ascii="Times New Roman" w:hAnsi="Times New Roman" w:cs="Times New Roman"/>
        </w:rPr>
      </w:pPr>
      <w:r>
        <w:rPr>
          <w:noProof/>
          <w:lang w:eastAsia="ru-RU"/>
        </w:rPr>
        <w:drawing>
          <wp:inline distT="0" distB="0" distL="0" distR="0" wp14:anchorId="677AD991" wp14:editId="6EF977E6">
            <wp:extent cx="6267450" cy="290512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2665" w:rsidRDefault="00A22665" w:rsidP="00A22665">
      <w:pPr>
        <w:spacing w:after="120"/>
        <w:jc w:val="both"/>
        <w:rPr>
          <w:rFonts w:ascii="Times New Roman" w:hAnsi="Times New Roman" w:cs="Times New Roman"/>
          <w:sz w:val="20"/>
          <w:szCs w:val="20"/>
        </w:rPr>
      </w:pPr>
      <w:r w:rsidRPr="00D3061E">
        <w:rPr>
          <w:rFonts w:ascii="Times New Roman" w:hAnsi="Times New Roman" w:cs="Times New Roman"/>
          <w:sz w:val="20"/>
          <w:szCs w:val="20"/>
        </w:rPr>
        <w:t xml:space="preserve">Рис. 4: динамика показателя </w:t>
      </w:r>
      <w:proofErr w:type="spellStart"/>
      <w:r w:rsidRPr="00D3061E">
        <w:rPr>
          <w:rFonts w:ascii="Times New Roman" w:hAnsi="Times New Roman" w:cs="Times New Roman"/>
          <w:sz w:val="20"/>
          <w:szCs w:val="20"/>
        </w:rPr>
        <w:t>дюрации</w:t>
      </w:r>
      <w:proofErr w:type="spellEnd"/>
      <w:r w:rsidRPr="00D3061E">
        <w:rPr>
          <w:rFonts w:ascii="Times New Roman" w:hAnsi="Times New Roman" w:cs="Times New Roman"/>
          <w:sz w:val="20"/>
          <w:szCs w:val="20"/>
        </w:rPr>
        <w:t xml:space="preserve"> и стоимости ликвидности.</w:t>
      </w:r>
    </w:p>
    <w:p w:rsidR="00A22665" w:rsidRPr="00D3061E" w:rsidRDefault="00A22665" w:rsidP="00A22665">
      <w:pPr>
        <w:spacing w:after="120"/>
        <w:jc w:val="both"/>
        <w:rPr>
          <w:rFonts w:ascii="Times New Roman" w:hAnsi="Times New Roman" w:cs="Times New Roman"/>
          <w:sz w:val="20"/>
          <w:szCs w:val="20"/>
        </w:rPr>
      </w:pP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 xml:space="preserve">На рисунке 4 можно видеть, что, не смотря на уменьшение показателя </w:t>
      </w:r>
      <w:proofErr w:type="spellStart"/>
      <w:r w:rsidRPr="003F6E95">
        <w:rPr>
          <w:rFonts w:ascii="Times New Roman" w:hAnsi="Times New Roman" w:cs="Times New Roman"/>
          <w:sz w:val="27"/>
          <w:szCs w:val="27"/>
        </w:rPr>
        <w:t>дюрации</w:t>
      </w:r>
      <w:proofErr w:type="spellEnd"/>
      <w:r w:rsidRPr="003F6E95">
        <w:rPr>
          <w:rFonts w:ascii="Times New Roman" w:hAnsi="Times New Roman" w:cs="Times New Roman"/>
          <w:sz w:val="27"/>
          <w:szCs w:val="27"/>
        </w:rPr>
        <w:t xml:space="preserve"> портфеля, показатель стоимости ликвидности увеличивается, что свидетельствует об увеличении риска ликвидности модельного портфеля.</w:t>
      </w:r>
    </w:p>
    <w:p w:rsidR="00A2266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Рисунок 5 свидетельствует, что показатель стоимости риска (</w:t>
      </w:r>
      <w:r w:rsidRPr="003F6E95">
        <w:rPr>
          <w:rFonts w:ascii="Times New Roman" w:hAnsi="Times New Roman" w:cs="Times New Roman"/>
          <w:sz w:val="27"/>
          <w:szCs w:val="27"/>
          <w:lang w:val="en-US"/>
        </w:rPr>
        <w:t>Value</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at</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Risk</w:t>
      </w:r>
      <w:r w:rsidRPr="003F6E95">
        <w:rPr>
          <w:rFonts w:ascii="Times New Roman" w:hAnsi="Times New Roman" w:cs="Times New Roman"/>
          <w:sz w:val="27"/>
          <w:szCs w:val="27"/>
        </w:rPr>
        <w:t xml:space="preserve">) растет в условиях роста процентных ставок (на рисунке </w:t>
      </w:r>
      <w:r w:rsidRPr="003F6E95">
        <w:rPr>
          <w:rFonts w:ascii="Times New Roman" w:hAnsi="Times New Roman" w:cs="Times New Roman"/>
          <w:sz w:val="27"/>
          <w:szCs w:val="27"/>
          <w:lang w:val="en-US"/>
        </w:rPr>
        <w:t>MIACR</w:t>
      </w:r>
      <w:r w:rsidRPr="003F6E95">
        <w:rPr>
          <w:rFonts w:ascii="Times New Roman" w:hAnsi="Times New Roman" w:cs="Times New Roman"/>
          <w:sz w:val="27"/>
          <w:szCs w:val="27"/>
        </w:rPr>
        <w:t xml:space="preserve"> - </w:t>
      </w:r>
      <w:proofErr w:type="spellStart"/>
      <w:r w:rsidRPr="003F6E95">
        <w:rPr>
          <w:rFonts w:ascii="Times New Roman" w:hAnsi="Times New Roman" w:cs="Times New Roman"/>
          <w:sz w:val="27"/>
          <w:szCs w:val="27"/>
        </w:rPr>
        <w:t>Moscow</w:t>
      </w:r>
      <w:proofErr w:type="spellEnd"/>
      <w:r w:rsidRPr="003F6E95">
        <w:rPr>
          <w:rFonts w:ascii="Times New Roman" w:hAnsi="Times New Roman" w:cs="Times New Roman"/>
          <w:sz w:val="27"/>
          <w:szCs w:val="27"/>
        </w:rPr>
        <w:t xml:space="preserve"> </w:t>
      </w:r>
      <w:proofErr w:type="spellStart"/>
      <w:r w:rsidRPr="003F6E95">
        <w:rPr>
          <w:rFonts w:ascii="Times New Roman" w:hAnsi="Times New Roman" w:cs="Times New Roman"/>
          <w:sz w:val="27"/>
          <w:szCs w:val="27"/>
        </w:rPr>
        <w:t>InterBank</w:t>
      </w:r>
      <w:proofErr w:type="spellEnd"/>
      <w:r w:rsidRPr="003F6E95">
        <w:rPr>
          <w:rFonts w:ascii="Times New Roman" w:hAnsi="Times New Roman" w:cs="Times New Roman"/>
          <w:sz w:val="27"/>
          <w:szCs w:val="27"/>
        </w:rPr>
        <w:t xml:space="preserve"> </w:t>
      </w:r>
      <w:proofErr w:type="spellStart"/>
      <w:r w:rsidRPr="003F6E95">
        <w:rPr>
          <w:rFonts w:ascii="Times New Roman" w:hAnsi="Times New Roman" w:cs="Times New Roman"/>
          <w:sz w:val="27"/>
          <w:szCs w:val="27"/>
        </w:rPr>
        <w:t>Actual</w:t>
      </w:r>
      <w:proofErr w:type="spellEnd"/>
      <w:r w:rsidRPr="003F6E95">
        <w:rPr>
          <w:rFonts w:ascii="Times New Roman" w:hAnsi="Times New Roman" w:cs="Times New Roman"/>
          <w:sz w:val="27"/>
          <w:szCs w:val="27"/>
        </w:rPr>
        <w:t xml:space="preserve"> </w:t>
      </w:r>
      <w:proofErr w:type="spellStart"/>
      <w:r w:rsidRPr="003F6E95">
        <w:rPr>
          <w:rFonts w:ascii="Times New Roman" w:hAnsi="Times New Roman" w:cs="Times New Roman"/>
          <w:sz w:val="27"/>
          <w:szCs w:val="27"/>
        </w:rPr>
        <w:t>Credit</w:t>
      </w:r>
      <w:proofErr w:type="spellEnd"/>
      <w:r w:rsidRPr="003F6E95">
        <w:rPr>
          <w:rFonts w:ascii="Times New Roman" w:hAnsi="Times New Roman" w:cs="Times New Roman"/>
          <w:sz w:val="27"/>
          <w:szCs w:val="27"/>
        </w:rPr>
        <w:t xml:space="preserve"> </w:t>
      </w:r>
      <w:proofErr w:type="spellStart"/>
      <w:r w:rsidRPr="003F6E95">
        <w:rPr>
          <w:rFonts w:ascii="Times New Roman" w:hAnsi="Times New Roman" w:cs="Times New Roman"/>
          <w:sz w:val="27"/>
          <w:szCs w:val="27"/>
        </w:rPr>
        <w:t>Rate</w:t>
      </w:r>
      <w:proofErr w:type="spellEnd"/>
      <w:r w:rsidRPr="003F6E95">
        <w:rPr>
          <w:rFonts w:ascii="Times New Roman" w:hAnsi="Times New Roman" w:cs="Times New Roman"/>
          <w:sz w:val="27"/>
          <w:szCs w:val="27"/>
        </w:rPr>
        <w:t>).</w:t>
      </w:r>
    </w:p>
    <w:p w:rsidR="00A22665" w:rsidRPr="003F6E95" w:rsidRDefault="00A22665" w:rsidP="00A22665">
      <w:pPr>
        <w:spacing w:after="0" w:line="360" w:lineRule="auto"/>
        <w:ind w:firstLine="567"/>
        <w:jc w:val="both"/>
        <w:rPr>
          <w:rFonts w:ascii="Times New Roman" w:hAnsi="Times New Roman" w:cs="Times New Roman"/>
          <w:sz w:val="27"/>
          <w:szCs w:val="27"/>
        </w:rPr>
      </w:pPr>
    </w:p>
    <w:p w:rsidR="00A22665" w:rsidRDefault="00A22665" w:rsidP="00A22665">
      <w:pPr>
        <w:spacing w:after="0"/>
        <w:jc w:val="both"/>
        <w:rPr>
          <w:rFonts w:ascii="Times New Roman" w:hAnsi="Times New Roman" w:cs="Times New Roman"/>
        </w:rPr>
      </w:pPr>
      <w:r>
        <w:rPr>
          <w:noProof/>
          <w:lang w:eastAsia="ru-RU"/>
        </w:rPr>
        <w:drawing>
          <wp:inline distT="0" distB="0" distL="0" distR="0" wp14:anchorId="245819D7" wp14:editId="62E41C9A">
            <wp:extent cx="6200775" cy="2647950"/>
            <wp:effectExtent l="0" t="0" r="9525" b="190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22665" w:rsidRDefault="00A22665" w:rsidP="00A22665">
      <w:pPr>
        <w:spacing w:after="120"/>
        <w:jc w:val="both"/>
        <w:rPr>
          <w:rFonts w:ascii="Times New Roman" w:hAnsi="Times New Roman" w:cs="Times New Roman"/>
          <w:sz w:val="20"/>
          <w:szCs w:val="20"/>
        </w:rPr>
      </w:pPr>
      <w:r w:rsidRPr="00727CB8">
        <w:rPr>
          <w:rFonts w:ascii="Times New Roman" w:hAnsi="Times New Roman" w:cs="Times New Roman"/>
          <w:sz w:val="20"/>
          <w:szCs w:val="20"/>
        </w:rPr>
        <w:t>Рис. 5: динамика показателя VAR (ось ординат слева) и процентных ставок MIACR (ось ординат справа)</w:t>
      </w:r>
      <w:r>
        <w:rPr>
          <w:rFonts w:ascii="Times New Roman" w:hAnsi="Times New Roman" w:cs="Times New Roman"/>
          <w:sz w:val="20"/>
          <w:szCs w:val="20"/>
        </w:rPr>
        <w:t>.</w:t>
      </w:r>
    </w:p>
    <w:p w:rsidR="00A22665" w:rsidRPr="00727CB8" w:rsidRDefault="00A22665" w:rsidP="00A22665">
      <w:pPr>
        <w:spacing w:after="120"/>
        <w:jc w:val="both"/>
        <w:rPr>
          <w:rFonts w:ascii="Times New Roman" w:hAnsi="Times New Roman" w:cs="Times New Roman"/>
          <w:sz w:val="20"/>
          <w:szCs w:val="20"/>
        </w:rPr>
      </w:pPr>
    </w:p>
    <w:p w:rsidR="00A2266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Из рисунка видно, что </w:t>
      </w:r>
      <w:r w:rsidRPr="003F6E95">
        <w:rPr>
          <w:rFonts w:ascii="Times New Roman" w:hAnsi="Times New Roman" w:cs="Times New Roman"/>
          <w:sz w:val="27"/>
          <w:szCs w:val="27"/>
          <w:lang w:val="en-US"/>
        </w:rPr>
        <w:t>VAR</w:t>
      </w:r>
      <w:r w:rsidRPr="003F6E95">
        <w:rPr>
          <w:rStyle w:val="a7"/>
          <w:rFonts w:ascii="Times New Roman" w:hAnsi="Times New Roman" w:cs="Times New Roman"/>
          <w:sz w:val="27"/>
          <w:szCs w:val="27"/>
          <w:lang w:val="en-US"/>
        </w:rPr>
        <w:footnoteReference w:id="17"/>
      </w:r>
      <w:r w:rsidRPr="003F6E95">
        <w:rPr>
          <w:rFonts w:ascii="Times New Roman" w:hAnsi="Times New Roman" w:cs="Times New Roman"/>
          <w:sz w:val="27"/>
          <w:szCs w:val="27"/>
        </w:rPr>
        <w:t xml:space="preserve"> для модельного портфеля облигаций, на дату обновления списка облигаций </w:t>
      </w:r>
      <w:proofErr w:type="spellStart"/>
      <w:r w:rsidRPr="003F6E95">
        <w:rPr>
          <w:rFonts w:ascii="Times New Roman" w:hAnsi="Times New Roman" w:cs="Times New Roman"/>
          <w:sz w:val="27"/>
          <w:szCs w:val="27"/>
        </w:rPr>
        <w:t>субиндекса</w:t>
      </w:r>
      <w:proofErr w:type="spellEnd"/>
      <w:r w:rsidRPr="003F6E95">
        <w:rPr>
          <w:rFonts w:ascii="Times New Roman" w:hAnsi="Times New Roman" w:cs="Times New Roman"/>
          <w:sz w:val="27"/>
          <w:szCs w:val="27"/>
        </w:rPr>
        <w:t xml:space="preserve"> облигаций пенсионных накоплений (на 17.30.2015 года) составлял более 40% портфеля. </w:t>
      </w:r>
    </w:p>
    <w:p w:rsidR="00A22665" w:rsidRPr="003F6E9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spacing w:after="0" w:line="360" w:lineRule="auto"/>
        <w:ind w:firstLine="709"/>
        <w:jc w:val="both"/>
        <w:rPr>
          <w:rFonts w:ascii="Times New Roman" w:hAnsi="Times New Roman" w:cs="Times New Roman"/>
          <w:i/>
          <w:sz w:val="27"/>
          <w:szCs w:val="27"/>
        </w:rPr>
      </w:pPr>
      <w:r w:rsidRPr="003F6E95">
        <w:rPr>
          <w:rFonts w:ascii="Times New Roman" w:hAnsi="Times New Roman" w:cs="Times New Roman"/>
          <w:i/>
          <w:sz w:val="27"/>
          <w:szCs w:val="27"/>
        </w:rPr>
        <w:t>Депозиты кредитных организаций.</w:t>
      </w:r>
    </w:p>
    <w:p w:rsidR="00A22665" w:rsidRPr="003F6E95" w:rsidRDefault="00A22665" w:rsidP="00A22665">
      <w:pPr>
        <w:spacing w:after="0" w:line="360" w:lineRule="auto"/>
        <w:ind w:firstLine="709"/>
        <w:jc w:val="both"/>
        <w:rPr>
          <w:rFonts w:ascii="Times New Roman" w:hAnsi="Times New Roman" w:cs="Times New Roman"/>
          <w:i/>
          <w:sz w:val="27"/>
          <w:szCs w:val="27"/>
        </w:rPr>
      </w:pP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Размещение сре</w:t>
      </w:r>
      <w:proofErr w:type="gramStart"/>
      <w:r w:rsidRPr="003F6E95">
        <w:rPr>
          <w:rFonts w:ascii="Times New Roman" w:hAnsi="Times New Roman" w:cs="Times New Roman"/>
          <w:sz w:val="27"/>
          <w:szCs w:val="27"/>
        </w:rPr>
        <w:t>дств в д</w:t>
      </w:r>
      <w:proofErr w:type="gramEnd"/>
      <w:r w:rsidRPr="003F6E95">
        <w:rPr>
          <w:rFonts w:ascii="Times New Roman" w:hAnsi="Times New Roman" w:cs="Times New Roman"/>
          <w:sz w:val="27"/>
          <w:szCs w:val="27"/>
        </w:rPr>
        <w:t xml:space="preserve">епозиты кредитных организаций имеет ряд преимуществ перед размещением в ценные бумаги. К таким преимуществам можно отнести отсутствие прямой подверженности фондовым и процентным рискам, поскольку стоимость депозитных вложений, как активов, не изменяется в условиях </w:t>
      </w:r>
      <w:r w:rsidRPr="003F6E95">
        <w:rPr>
          <w:rFonts w:ascii="Times New Roman" w:hAnsi="Times New Roman" w:cs="Times New Roman"/>
          <w:sz w:val="27"/>
          <w:szCs w:val="27"/>
        </w:rPr>
        <w:lastRenderedPageBreak/>
        <w:t xml:space="preserve">колебаний процентных ставок и фондовых индексов. Фонды получают прогнозируемый доход в виде накопленных процентов и номинал после окончания срока депозита. Переоценка тела депозита, с учетом кредитных и рыночных рисков не осуществляется в течение всего срока депозита. </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Учитывая преимущества размещения в депозиты, можно было бы считать такой актив «тихой гаванью» в условиях экономического кризиса, однако у депозитов есть ряд недостатков, которые становятся особенно существенными во время кризиса. </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Основным риском депозитных вложений является кредитный риск. Оценка кредитного риска представляется затруднительной не только в условиях кризиса, но и в периоды «нормального» состояния экономики и рыночной конъюнктуры. Модели оценки кредитного риска, основанные на кредитных рейтингах рейтинговых агентств, будут существенно занижены в условиях кризиса, поскольку рейтинговые агентства при формировании рейтинга учитывают цикличность в </w:t>
      </w:r>
      <w:proofErr w:type="gramStart"/>
      <w:r w:rsidRPr="003F6E95">
        <w:rPr>
          <w:rFonts w:ascii="Times New Roman" w:hAnsi="Times New Roman" w:cs="Times New Roman"/>
          <w:sz w:val="27"/>
          <w:szCs w:val="27"/>
        </w:rPr>
        <w:t>экономики</w:t>
      </w:r>
      <w:proofErr w:type="gramEnd"/>
      <w:r w:rsidRPr="003F6E95">
        <w:rPr>
          <w:rFonts w:ascii="Times New Roman" w:hAnsi="Times New Roman" w:cs="Times New Roman"/>
          <w:sz w:val="27"/>
          <w:szCs w:val="27"/>
        </w:rPr>
        <w:t xml:space="preserve"> на определенном временном горизонте усредняя свои оценки (</w:t>
      </w:r>
      <w:proofErr w:type="spellStart"/>
      <w:r w:rsidRPr="003F6E95">
        <w:rPr>
          <w:rFonts w:ascii="Times New Roman" w:hAnsi="Times New Roman" w:cs="Times New Roman"/>
          <w:sz w:val="27"/>
          <w:szCs w:val="27"/>
        </w:rPr>
        <w:t>through</w:t>
      </w:r>
      <w:proofErr w:type="spellEnd"/>
      <w:r w:rsidRPr="003F6E95">
        <w:rPr>
          <w:rFonts w:ascii="Times New Roman" w:hAnsi="Times New Roman" w:cs="Times New Roman"/>
          <w:sz w:val="27"/>
          <w:szCs w:val="27"/>
        </w:rPr>
        <w:t xml:space="preserve"> </w:t>
      </w:r>
      <w:proofErr w:type="spellStart"/>
      <w:r w:rsidRPr="003F6E95">
        <w:rPr>
          <w:rFonts w:ascii="Times New Roman" w:hAnsi="Times New Roman" w:cs="Times New Roman"/>
          <w:sz w:val="27"/>
          <w:szCs w:val="27"/>
        </w:rPr>
        <w:t>the</w:t>
      </w:r>
      <w:proofErr w:type="spellEnd"/>
      <w:r w:rsidRPr="003F6E95">
        <w:rPr>
          <w:rFonts w:ascii="Times New Roman" w:hAnsi="Times New Roman" w:cs="Times New Roman"/>
          <w:sz w:val="27"/>
          <w:szCs w:val="27"/>
        </w:rPr>
        <w:t xml:space="preserve"> </w:t>
      </w:r>
      <w:proofErr w:type="spellStart"/>
      <w:r w:rsidRPr="003F6E95">
        <w:rPr>
          <w:rFonts w:ascii="Times New Roman" w:hAnsi="Times New Roman" w:cs="Times New Roman"/>
          <w:sz w:val="27"/>
          <w:szCs w:val="27"/>
        </w:rPr>
        <w:t>cycle</w:t>
      </w:r>
      <w:proofErr w:type="spellEnd"/>
      <w:r w:rsidRPr="003F6E95">
        <w:rPr>
          <w:rFonts w:ascii="Times New Roman" w:hAnsi="Times New Roman" w:cs="Times New Roman"/>
          <w:sz w:val="27"/>
          <w:szCs w:val="27"/>
        </w:rPr>
        <w:t xml:space="preserve"> </w:t>
      </w:r>
      <w:proofErr w:type="spellStart"/>
      <w:r w:rsidRPr="003F6E95">
        <w:rPr>
          <w:rFonts w:ascii="Times New Roman" w:hAnsi="Times New Roman" w:cs="Times New Roman"/>
          <w:sz w:val="27"/>
          <w:szCs w:val="27"/>
        </w:rPr>
        <w:t>approach</w:t>
      </w:r>
      <w:proofErr w:type="spellEnd"/>
      <w:r w:rsidRPr="003F6E95">
        <w:rPr>
          <w:rFonts w:ascii="Times New Roman" w:hAnsi="Times New Roman" w:cs="Times New Roman"/>
          <w:sz w:val="27"/>
          <w:szCs w:val="27"/>
        </w:rPr>
        <w:t xml:space="preserve">). При построении и </w:t>
      </w:r>
      <w:proofErr w:type="spellStart"/>
      <w:r w:rsidRPr="003F6E95">
        <w:rPr>
          <w:rFonts w:ascii="Times New Roman" w:hAnsi="Times New Roman" w:cs="Times New Roman"/>
          <w:sz w:val="27"/>
          <w:szCs w:val="27"/>
        </w:rPr>
        <w:t>валидировании</w:t>
      </w:r>
      <w:proofErr w:type="spellEnd"/>
      <w:r w:rsidRPr="003F6E95">
        <w:rPr>
          <w:rFonts w:ascii="Times New Roman" w:hAnsi="Times New Roman" w:cs="Times New Roman"/>
          <w:sz w:val="27"/>
          <w:szCs w:val="27"/>
        </w:rPr>
        <w:t xml:space="preserve"> собственных моделей оценки кредитного риска, на основе финансовых показателей кредитных организаций, возникают следующие трудности, в том числе связанные со спецификой развития банковского бизнеса в Российской Федерации: </w:t>
      </w:r>
    </w:p>
    <w:p w:rsidR="00A22665" w:rsidRPr="003F6E95" w:rsidRDefault="00A22665" w:rsidP="00A22665">
      <w:pPr>
        <w:pStyle w:val="a8"/>
        <w:numPr>
          <w:ilvl w:val="0"/>
          <w:numId w:val="5"/>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в случае существенного ухудшения финансовых показателей, кредитные организации искажают финансовую отчетность, что не позволяет корректно выделять закономерности поведения соответствующих показателей;</w:t>
      </w:r>
    </w:p>
    <w:p w:rsidR="00A22665" w:rsidRPr="003F6E95" w:rsidRDefault="00A22665" w:rsidP="00A22665">
      <w:pPr>
        <w:pStyle w:val="a8"/>
        <w:numPr>
          <w:ilvl w:val="0"/>
          <w:numId w:val="5"/>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в условиях кризиса, колебания фондовых индексов и процентных ставок оказывают негативное влияние на кредитное качество кредитной организации (такое влияние затруднительно оценить на основе финансовой отчетности банков); </w:t>
      </w:r>
    </w:p>
    <w:p w:rsidR="00A22665" w:rsidRPr="003F6E95" w:rsidRDefault="00A22665" w:rsidP="00A22665">
      <w:pPr>
        <w:pStyle w:val="a8"/>
        <w:numPr>
          <w:ilvl w:val="0"/>
          <w:numId w:val="5"/>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стремительное ухудшение краткосрочной ликвидности кредитных организаций, в условиях кризиса, затруднительно учитывать в моделях, поскольку такое ухудшение имеет разную степень влияния на каждую отдельную кредитную организацию (необходимо оценивать источники финансирования краткосрочной ликвидности, степень поддержки акционерами и государством и пр.);</w:t>
      </w:r>
    </w:p>
    <w:p w:rsidR="00A22665" w:rsidRPr="003F6E95" w:rsidRDefault="00A22665" w:rsidP="00A22665">
      <w:pPr>
        <w:pStyle w:val="a8"/>
        <w:numPr>
          <w:ilvl w:val="0"/>
          <w:numId w:val="5"/>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lastRenderedPageBreak/>
        <w:t xml:space="preserve">нефинансовые факторы являются существенными (а в некоторых случаях основными), при формировании оценки кредитного риска кредитной организации. </w:t>
      </w:r>
    </w:p>
    <w:p w:rsidR="00A2266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Рассмотрим динамику соотношения просроченной задолженности к выданным кредитам Топ-10 (по размеру чистых активов) российских банков (</w:t>
      </w:r>
      <w:proofErr w:type="gramStart"/>
      <w:r w:rsidRPr="003F6E95">
        <w:rPr>
          <w:rFonts w:ascii="Times New Roman" w:hAnsi="Times New Roman" w:cs="Times New Roman"/>
          <w:sz w:val="27"/>
          <w:szCs w:val="27"/>
        </w:rPr>
        <w:t>средневзвешенная</w:t>
      </w:r>
      <w:proofErr w:type="gramEnd"/>
      <w:r w:rsidRPr="003F6E95">
        <w:rPr>
          <w:rFonts w:ascii="Times New Roman" w:hAnsi="Times New Roman" w:cs="Times New Roman"/>
          <w:sz w:val="27"/>
          <w:szCs w:val="27"/>
        </w:rPr>
        <w:t xml:space="preserve"> по объему выданных кредитов) в периоды стагнации 2008-2009 и 2014-2015 годов соответственно:</w:t>
      </w:r>
    </w:p>
    <w:p w:rsidR="00A22665" w:rsidRPr="003F6E95" w:rsidRDefault="00A22665" w:rsidP="00A22665">
      <w:pPr>
        <w:spacing w:after="0" w:line="360" w:lineRule="auto"/>
        <w:ind w:firstLine="709"/>
        <w:jc w:val="both"/>
        <w:rPr>
          <w:rFonts w:ascii="Times New Roman" w:hAnsi="Times New Roman" w:cs="Times New Roman"/>
          <w:sz w:val="27"/>
          <w:szCs w:val="27"/>
        </w:rPr>
      </w:pPr>
    </w:p>
    <w:p w:rsidR="00A22665" w:rsidRDefault="00A22665" w:rsidP="00A22665">
      <w:pPr>
        <w:spacing w:after="0"/>
        <w:jc w:val="both"/>
        <w:rPr>
          <w:rFonts w:ascii="Times New Roman" w:hAnsi="Times New Roman" w:cs="Times New Roman"/>
        </w:rPr>
      </w:pPr>
      <w:r>
        <w:rPr>
          <w:noProof/>
          <w:lang w:eastAsia="ru-RU"/>
        </w:rPr>
        <w:drawing>
          <wp:inline distT="0" distB="0" distL="0" distR="0" wp14:anchorId="02AADBDF" wp14:editId="6FC1BD5F">
            <wp:extent cx="3114675" cy="2571750"/>
            <wp:effectExtent l="19050" t="0" r="9525"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Times New Roman" w:hAnsi="Times New Roman" w:cs="Times New Roman"/>
        </w:rPr>
        <w:t xml:space="preserve">  </w:t>
      </w:r>
      <w:r>
        <w:rPr>
          <w:noProof/>
          <w:lang w:eastAsia="ru-RU"/>
        </w:rPr>
        <w:drawing>
          <wp:inline distT="0" distB="0" distL="0" distR="0" wp14:anchorId="768ACAAA" wp14:editId="458DD4C4">
            <wp:extent cx="3028950" cy="2581275"/>
            <wp:effectExtent l="19050" t="0" r="1905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22665" w:rsidTr="00AF759C">
        <w:tc>
          <w:tcPr>
            <w:tcW w:w="5069" w:type="dxa"/>
          </w:tcPr>
          <w:p w:rsidR="00A22665" w:rsidRDefault="00A22665" w:rsidP="00AF759C">
            <w:pPr>
              <w:jc w:val="both"/>
              <w:rPr>
                <w:rFonts w:ascii="Times New Roman" w:hAnsi="Times New Roman" w:cs="Times New Roman"/>
                <w:sz w:val="20"/>
                <w:szCs w:val="20"/>
              </w:rPr>
            </w:pPr>
            <w:r w:rsidRPr="00CB5D9E">
              <w:rPr>
                <w:rFonts w:ascii="Times New Roman" w:hAnsi="Times New Roman" w:cs="Times New Roman"/>
                <w:sz w:val="20"/>
                <w:szCs w:val="20"/>
              </w:rPr>
              <w:t xml:space="preserve">Рис. 6: динамика соотношения просроченной задолженности к выданным кредитам </w:t>
            </w:r>
            <w:r>
              <w:rPr>
                <w:rFonts w:ascii="Times New Roman" w:hAnsi="Times New Roman" w:cs="Times New Roman"/>
                <w:sz w:val="20"/>
                <w:szCs w:val="20"/>
              </w:rPr>
              <w:t>Топ-</w:t>
            </w:r>
            <w:r w:rsidRPr="00CB5D9E">
              <w:rPr>
                <w:rFonts w:ascii="Times New Roman" w:hAnsi="Times New Roman" w:cs="Times New Roman"/>
                <w:sz w:val="20"/>
                <w:szCs w:val="20"/>
              </w:rPr>
              <w:t xml:space="preserve">10 банков России в период 2008-2009 </w:t>
            </w:r>
            <w:r>
              <w:rPr>
                <w:rFonts w:ascii="Times New Roman" w:hAnsi="Times New Roman" w:cs="Times New Roman"/>
                <w:sz w:val="20"/>
                <w:szCs w:val="20"/>
              </w:rPr>
              <w:t>годов.</w:t>
            </w:r>
          </w:p>
        </w:tc>
        <w:tc>
          <w:tcPr>
            <w:tcW w:w="5069" w:type="dxa"/>
          </w:tcPr>
          <w:p w:rsidR="00A22665" w:rsidRDefault="00A22665" w:rsidP="00AF759C">
            <w:pPr>
              <w:ind w:right="141"/>
              <w:jc w:val="both"/>
              <w:rPr>
                <w:rFonts w:ascii="Times New Roman" w:hAnsi="Times New Roman" w:cs="Times New Roman"/>
                <w:sz w:val="20"/>
                <w:szCs w:val="20"/>
              </w:rPr>
            </w:pPr>
            <w:r w:rsidRPr="00CB5D9E">
              <w:rPr>
                <w:rFonts w:ascii="Times New Roman" w:hAnsi="Times New Roman" w:cs="Times New Roman"/>
                <w:sz w:val="20"/>
                <w:szCs w:val="20"/>
              </w:rPr>
              <w:t>Рис.</w:t>
            </w:r>
            <w:r>
              <w:rPr>
                <w:rFonts w:ascii="Times New Roman" w:hAnsi="Times New Roman" w:cs="Times New Roman"/>
                <w:sz w:val="20"/>
                <w:szCs w:val="20"/>
              </w:rPr>
              <w:t xml:space="preserve"> 7</w:t>
            </w:r>
            <w:r w:rsidRPr="00CB5D9E">
              <w:rPr>
                <w:rFonts w:ascii="Times New Roman" w:hAnsi="Times New Roman" w:cs="Times New Roman"/>
                <w:sz w:val="20"/>
                <w:szCs w:val="20"/>
              </w:rPr>
              <w:t>: динамика соотношения просроченной задолженности к выданным кредитам Т</w:t>
            </w:r>
            <w:r>
              <w:rPr>
                <w:rFonts w:ascii="Times New Roman" w:hAnsi="Times New Roman" w:cs="Times New Roman"/>
                <w:sz w:val="20"/>
                <w:szCs w:val="20"/>
              </w:rPr>
              <w:t>оп-</w:t>
            </w:r>
            <w:r w:rsidRPr="00CB5D9E">
              <w:rPr>
                <w:rFonts w:ascii="Times New Roman" w:hAnsi="Times New Roman" w:cs="Times New Roman"/>
                <w:sz w:val="20"/>
                <w:szCs w:val="20"/>
              </w:rPr>
              <w:t>10 банков России в период 20</w:t>
            </w:r>
            <w:r>
              <w:rPr>
                <w:rFonts w:ascii="Times New Roman" w:hAnsi="Times New Roman" w:cs="Times New Roman"/>
                <w:sz w:val="20"/>
                <w:szCs w:val="20"/>
              </w:rPr>
              <w:t>14</w:t>
            </w:r>
            <w:r w:rsidRPr="00CB5D9E">
              <w:rPr>
                <w:rFonts w:ascii="Times New Roman" w:hAnsi="Times New Roman" w:cs="Times New Roman"/>
                <w:sz w:val="20"/>
                <w:szCs w:val="20"/>
              </w:rPr>
              <w:t>-20</w:t>
            </w:r>
            <w:r>
              <w:rPr>
                <w:rFonts w:ascii="Times New Roman" w:hAnsi="Times New Roman" w:cs="Times New Roman"/>
                <w:sz w:val="20"/>
                <w:szCs w:val="20"/>
              </w:rPr>
              <w:t>15</w:t>
            </w:r>
            <w:r w:rsidRPr="00CB5D9E">
              <w:rPr>
                <w:rFonts w:ascii="Times New Roman" w:hAnsi="Times New Roman" w:cs="Times New Roman"/>
                <w:sz w:val="20"/>
                <w:szCs w:val="20"/>
              </w:rPr>
              <w:t xml:space="preserve"> </w:t>
            </w:r>
            <w:r>
              <w:rPr>
                <w:rFonts w:ascii="Times New Roman" w:hAnsi="Times New Roman" w:cs="Times New Roman"/>
                <w:sz w:val="20"/>
                <w:szCs w:val="20"/>
              </w:rPr>
              <w:t>годов</w:t>
            </w:r>
            <w:r w:rsidRPr="00CB5D9E">
              <w:rPr>
                <w:rFonts w:ascii="Times New Roman" w:hAnsi="Times New Roman" w:cs="Times New Roman"/>
                <w:sz w:val="20"/>
                <w:szCs w:val="20"/>
              </w:rPr>
              <w:t>.</w:t>
            </w:r>
          </w:p>
        </w:tc>
      </w:tr>
    </w:tbl>
    <w:p w:rsidR="00A22665" w:rsidRDefault="00A22665" w:rsidP="00A22665">
      <w:pPr>
        <w:spacing w:after="0" w:line="360" w:lineRule="auto"/>
        <w:ind w:firstLine="567"/>
        <w:jc w:val="both"/>
        <w:rPr>
          <w:rFonts w:ascii="Times New Roman" w:hAnsi="Times New Roman" w:cs="Times New Roman"/>
          <w:sz w:val="27"/>
          <w:szCs w:val="27"/>
        </w:rPr>
      </w:pP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На рисунке 6 и 7 можно видеть, что уровень просроченной задолженности в периоды финансово-экономической нестабильности увеличивается. На начало 2014 года уровень просроченной задолженности был на уровне 2009 года.</w:t>
      </w:r>
    </w:p>
    <w:p w:rsidR="00A2266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Рассмотрим динамику соотношения просроченной задолженности и создаваемых в кредитных организациях резервов на возможные потери (Топ-10 кредитных организаций России по размеру чистых активов)  в периоды 2008-2009 и 2014-2015 годов.</w:t>
      </w:r>
    </w:p>
    <w:p w:rsidR="00A22665" w:rsidRPr="003F6E95" w:rsidRDefault="00A22665" w:rsidP="00A22665">
      <w:pPr>
        <w:spacing w:after="0" w:line="360" w:lineRule="auto"/>
        <w:ind w:firstLine="567"/>
        <w:jc w:val="both"/>
        <w:rPr>
          <w:rFonts w:ascii="Times New Roman" w:hAnsi="Times New Roman" w:cs="Times New Roman"/>
          <w:sz w:val="27"/>
          <w:szCs w:val="27"/>
        </w:rPr>
      </w:pPr>
    </w:p>
    <w:p w:rsidR="00A22665" w:rsidRDefault="00A22665" w:rsidP="00A22665">
      <w:pPr>
        <w:spacing w:after="0"/>
        <w:jc w:val="both"/>
        <w:rPr>
          <w:rFonts w:ascii="Times New Roman" w:hAnsi="Times New Roman" w:cs="Times New Roman"/>
        </w:rPr>
      </w:pPr>
      <w:r>
        <w:rPr>
          <w:noProof/>
          <w:lang w:eastAsia="ru-RU"/>
        </w:rPr>
        <w:lastRenderedPageBreak/>
        <w:drawing>
          <wp:inline distT="0" distB="0" distL="0" distR="0" wp14:anchorId="36FF03F4" wp14:editId="7047709E">
            <wp:extent cx="3095625" cy="252412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Pr>
          <w:rFonts w:ascii="Times New Roman" w:hAnsi="Times New Roman" w:cs="Times New Roman"/>
        </w:rPr>
        <w:t xml:space="preserve"> </w:t>
      </w:r>
      <w:r>
        <w:rPr>
          <w:noProof/>
          <w:lang w:eastAsia="ru-RU"/>
        </w:rPr>
        <w:drawing>
          <wp:inline distT="0" distB="0" distL="0" distR="0" wp14:anchorId="7FB85A73" wp14:editId="5E72F41F">
            <wp:extent cx="3105150" cy="25146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22665" w:rsidTr="00AF759C">
        <w:tc>
          <w:tcPr>
            <w:tcW w:w="5069" w:type="dxa"/>
          </w:tcPr>
          <w:p w:rsidR="00A22665" w:rsidRDefault="00A22665" w:rsidP="00AF759C">
            <w:pPr>
              <w:jc w:val="both"/>
              <w:rPr>
                <w:rFonts w:ascii="Times New Roman" w:hAnsi="Times New Roman" w:cs="Times New Roman"/>
                <w:sz w:val="20"/>
                <w:szCs w:val="20"/>
              </w:rPr>
            </w:pPr>
            <w:r w:rsidRPr="00CB5D9E">
              <w:rPr>
                <w:rFonts w:ascii="Times New Roman" w:hAnsi="Times New Roman" w:cs="Times New Roman"/>
                <w:sz w:val="20"/>
                <w:szCs w:val="20"/>
              </w:rPr>
              <w:t>Рис.</w:t>
            </w:r>
            <w:r>
              <w:rPr>
                <w:rFonts w:ascii="Times New Roman" w:hAnsi="Times New Roman" w:cs="Times New Roman"/>
                <w:sz w:val="20"/>
                <w:szCs w:val="20"/>
              </w:rPr>
              <w:t xml:space="preserve"> 8</w:t>
            </w:r>
            <w:r w:rsidRPr="00CB5D9E">
              <w:rPr>
                <w:rFonts w:ascii="Times New Roman" w:hAnsi="Times New Roman" w:cs="Times New Roman"/>
                <w:sz w:val="20"/>
                <w:szCs w:val="20"/>
              </w:rPr>
              <w:t xml:space="preserve">: динамика </w:t>
            </w:r>
            <w:r w:rsidRPr="00FA4F6D">
              <w:rPr>
                <w:rFonts w:ascii="Times New Roman" w:hAnsi="Times New Roman" w:cs="Times New Roman"/>
                <w:sz w:val="20"/>
                <w:szCs w:val="20"/>
              </w:rPr>
              <w:t xml:space="preserve">соотношения просроченной задолженности и создаваемых в кредитных организациях </w:t>
            </w:r>
            <w:r>
              <w:rPr>
                <w:rFonts w:ascii="Times New Roman" w:hAnsi="Times New Roman" w:cs="Times New Roman"/>
                <w:sz w:val="20"/>
                <w:szCs w:val="20"/>
              </w:rPr>
              <w:t>(Топ-</w:t>
            </w:r>
            <w:r w:rsidRPr="00CB5D9E">
              <w:rPr>
                <w:rFonts w:ascii="Times New Roman" w:hAnsi="Times New Roman" w:cs="Times New Roman"/>
                <w:sz w:val="20"/>
                <w:szCs w:val="20"/>
              </w:rPr>
              <w:t>10 банков России</w:t>
            </w:r>
            <w:r>
              <w:rPr>
                <w:rFonts w:ascii="Times New Roman" w:hAnsi="Times New Roman" w:cs="Times New Roman"/>
                <w:sz w:val="20"/>
                <w:szCs w:val="20"/>
              </w:rPr>
              <w:t>)</w:t>
            </w:r>
            <w:r w:rsidRPr="00CB5D9E">
              <w:rPr>
                <w:rFonts w:ascii="Times New Roman" w:hAnsi="Times New Roman" w:cs="Times New Roman"/>
                <w:sz w:val="20"/>
                <w:szCs w:val="20"/>
              </w:rPr>
              <w:t xml:space="preserve"> </w:t>
            </w:r>
            <w:r w:rsidRPr="00FA4F6D">
              <w:rPr>
                <w:rFonts w:ascii="Times New Roman" w:hAnsi="Times New Roman" w:cs="Times New Roman"/>
                <w:sz w:val="20"/>
                <w:szCs w:val="20"/>
              </w:rPr>
              <w:t>резервов на возможные потери</w:t>
            </w:r>
            <w:r w:rsidRPr="00CB5D9E">
              <w:rPr>
                <w:rFonts w:ascii="Times New Roman" w:hAnsi="Times New Roman" w:cs="Times New Roman"/>
                <w:sz w:val="20"/>
                <w:szCs w:val="20"/>
              </w:rPr>
              <w:t xml:space="preserve"> в период 2008-2009 </w:t>
            </w:r>
            <w:r>
              <w:rPr>
                <w:rFonts w:ascii="Times New Roman" w:hAnsi="Times New Roman" w:cs="Times New Roman"/>
                <w:sz w:val="20"/>
                <w:szCs w:val="20"/>
              </w:rPr>
              <w:t>годов.</w:t>
            </w:r>
          </w:p>
        </w:tc>
        <w:tc>
          <w:tcPr>
            <w:tcW w:w="5069" w:type="dxa"/>
          </w:tcPr>
          <w:p w:rsidR="00A22665" w:rsidRDefault="00A22665" w:rsidP="00AF759C">
            <w:pPr>
              <w:ind w:right="141"/>
              <w:jc w:val="both"/>
              <w:rPr>
                <w:rFonts w:ascii="Times New Roman" w:hAnsi="Times New Roman" w:cs="Times New Roman"/>
                <w:sz w:val="20"/>
                <w:szCs w:val="20"/>
              </w:rPr>
            </w:pPr>
            <w:r w:rsidRPr="00CB5D9E">
              <w:rPr>
                <w:rFonts w:ascii="Times New Roman" w:hAnsi="Times New Roman" w:cs="Times New Roman"/>
                <w:sz w:val="20"/>
                <w:szCs w:val="20"/>
              </w:rPr>
              <w:t>Рис.</w:t>
            </w:r>
            <w:r>
              <w:rPr>
                <w:rFonts w:ascii="Times New Roman" w:hAnsi="Times New Roman" w:cs="Times New Roman"/>
                <w:sz w:val="20"/>
                <w:szCs w:val="20"/>
              </w:rPr>
              <w:t xml:space="preserve"> 9</w:t>
            </w:r>
            <w:r w:rsidRPr="00CB5D9E">
              <w:rPr>
                <w:rFonts w:ascii="Times New Roman" w:hAnsi="Times New Roman" w:cs="Times New Roman"/>
                <w:sz w:val="20"/>
                <w:szCs w:val="20"/>
              </w:rPr>
              <w:t xml:space="preserve">: динамика </w:t>
            </w:r>
            <w:r w:rsidRPr="00FA4F6D">
              <w:rPr>
                <w:rFonts w:ascii="Times New Roman" w:hAnsi="Times New Roman" w:cs="Times New Roman"/>
                <w:sz w:val="20"/>
                <w:szCs w:val="20"/>
              </w:rPr>
              <w:t xml:space="preserve">соотношения просроченной задолженности и создаваемых в кредитных организациях </w:t>
            </w:r>
            <w:r>
              <w:rPr>
                <w:rFonts w:ascii="Times New Roman" w:hAnsi="Times New Roman" w:cs="Times New Roman"/>
                <w:sz w:val="20"/>
                <w:szCs w:val="20"/>
              </w:rPr>
              <w:t>(Топ-</w:t>
            </w:r>
            <w:r w:rsidRPr="00CB5D9E">
              <w:rPr>
                <w:rFonts w:ascii="Times New Roman" w:hAnsi="Times New Roman" w:cs="Times New Roman"/>
                <w:sz w:val="20"/>
                <w:szCs w:val="20"/>
              </w:rPr>
              <w:t>10 банков России</w:t>
            </w:r>
            <w:r>
              <w:rPr>
                <w:rFonts w:ascii="Times New Roman" w:hAnsi="Times New Roman" w:cs="Times New Roman"/>
                <w:sz w:val="20"/>
                <w:szCs w:val="20"/>
              </w:rPr>
              <w:t>)</w:t>
            </w:r>
            <w:r w:rsidRPr="00CB5D9E">
              <w:rPr>
                <w:rFonts w:ascii="Times New Roman" w:hAnsi="Times New Roman" w:cs="Times New Roman"/>
                <w:sz w:val="20"/>
                <w:szCs w:val="20"/>
              </w:rPr>
              <w:t xml:space="preserve"> </w:t>
            </w:r>
            <w:r w:rsidRPr="00FA4F6D">
              <w:rPr>
                <w:rFonts w:ascii="Times New Roman" w:hAnsi="Times New Roman" w:cs="Times New Roman"/>
                <w:sz w:val="20"/>
                <w:szCs w:val="20"/>
              </w:rPr>
              <w:t>резервов на возможные потери</w:t>
            </w:r>
            <w:r w:rsidRPr="00CB5D9E">
              <w:rPr>
                <w:rFonts w:ascii="Times New Roman" w:hAnsi="Times New Roman" w:cs="Times New Roman"/>
                <w:sz w:val="20"/>
                <w:szCs w:val="20"/>
              </w:rPr>
              <w:t xml:space="preserve"> в период 20</w:t>
            </w:r>
            <w:r>
              <w:rPr>
                <w:rFonts w:ascii="Times New Roman" w:hAnsi="Times New Roman" w:cs="Times New Roman"/>
                <w:sz w:val="20"/>
                <w:szCs w:val="20"/>
              </w:rPr>
              <w:t>14</w:t>
            </w:r>
            <w:r w:rsidRPr="00CB5D9E">
              <w:rPr>
                <w:rFonts w:ascii="Times New Roman" w:hAnsi="Times New Roman" w:cs="Times New Roman"/>
                <w:sz w:val="20"/>
                <w:szCs w:val="20"/>
              </w:rPr>
              <w:t>-20</w:t>
            </w:r>
            <w:r>
              <w:rPr>
                <w:rFonts w:ascii="Times New Roman" w:hAnsi="Times New Roman" w:cs="Times New Roman"/>
                <w:sz w:val="20"/>
                <w:szCs w:val="20"/>
              </w:rPr>
              <w:t>15</w:t>
            </w:r>
            <w:r w:rsidRPr="00CB5D9E">
              <w:rPr>
                <w:rFonts w:ascii="Times New Roman" w:hAnsi="Times New Roman" w:cs="Times New Roman"/>
                <w:sz w:val="20"/>
                <w:szCs w:val="20"/>
              </w:rPr>
              <w:t xml:space="preserve"> </w:t>
            </w:r>
            <w:r>
              <w:rPr>
                <w:rFonts w:ascii="Times New Roman" w:hAnsi="Times New Roman" w:cs="Times New Roman"/>
                <w:sz w:val="20"/>
                <w:szCs w:val="20"/>
              </w:rPr>
              <w:t>годов</w:t>
            </w:r>
            <w:r w:rsidRPr="00CB5D9E">
              <w:rPr>
                <w:rFonts w:ascii="Times New Roman" w:hAnsi="Times New Roman" w:cs="Times New Roman"/>
                <w:sz w:val="20"/>
                <w:szCs w:val="20"/>
              </w:rPr>
              <w:t>.</w:t>
            </w:r>
          </w:p>
        </w:tc>
      </w:tr>
    </w:tbl>
    <w:p w:rsidR="00A22665" w:rsidRDefault="00A22665" w:rsidP="00A22665">
      <w:pPr>
        <w:spacing w:before="120" w:after="0"/>
        <w:ind w:firstLine="567"/>
        <w:jc w:val="both"/>
        <w:rPr>
          <w:rFonts w:ascii="Times New Roman" w:hAnsi="Times New Roman" w:cs="Times New Roman"/>
        </w:rPr>
      </w:pP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На рисунках 8 и 9 можно видеть сокращение резервов по сравнению с ростом просроченной задолженности, что может свидетельствовать об ухудшении финансовой устойчивости кредитных организаций в банковском секторе.</w:t>
      </w:r>
    </w:p>
    <w:p w:rsidR="00A22665" w:rsidRPr="003F6E95" w:rsidRDefault="00A22665" w:rsidP="00A22665">
      <w:pPr>
        <w:spacing w:after="0" w:line="360" w:lineRule="auto"/>
        <w:ind w:firstLine="567"/>
        <w:jc w:val="both"/>
        <w:rPr>
          <w:rFonts w:ascii="Times New Roman" w:hAnsi="Times New Roman" w:cs="Times New Roman"/>
          <w:sz w:val="27"/>
          <w:szCs w:val="27"/>
        </w:rPr>
      </w:pPr>
      <w:r w:rsidRPr="003F6E95">
        <w:rPr>
          <w:rFonts w:ascii="Times New Roman" w:hAnsi="Times New Roman" w:cs="Times New Roman"/>
          <w:sz w:val="27"/>
          <w:szCs w:val="27"/>
        </w:rPr>
        <w:t xml:space="preserve">Рассмотрим динамику показателя </w:t>
      </w:r>
      <w:r w:rsidRPr="003F6E95">
        <w:rPr>
          <w:rFonts w:ascii="Times New Roman" w:hAnsi="Times New Roman" w:cs="Times New Roman"/>
          <w:sz w:val="27"/>
          <w:szCs w:val="27"/>
          <w:lang w:val="en-US"/>
        </w:rPr>
        <w:t>CVAR</w:t>
      </w:r>
      <w:r w:rsidRPr="003F6E95">
        <w:rPr>
          <w:rStyle w:val="a7"/>
          <w:rFonts w:ascii="Times New Roman" w:hAnsi="Times New Roman" w:cs="Times New Roman"/>
          <w:sz w:val="27"/>
          <w:szCs w:val="27"/>
          <w:lang w:val="en-US"/>
        </w:rPr>
        <w:footnoteReference w:id="18"/>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Credit</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Value</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at</w:t>
      </w:r>
      <w:r w:rsidRPr="003F6E95">
        <w:rPr>
          <w:rFonts w:ascii="Times New Roman" w:hAnsi="Times New Roman" w:cs="Times New Roman"/>
          <w:sz w:val="27"/>
          <w:szCs w:val="27"/>
        </w:rPr>
        <w:t xml:space="preserve"> </w:t>
      </w:r>
      <w:r w:rsidRPr="003F6E95">
        <w:rPr>
          <w:rFonts w:ascii="Times New Roman" w:hAnsi="Times New Roman" w:cs="Times New Roman"/>
          <w:sz w:val="27"/>
          <w:szCs w:val="27"/>
          <w:lang w:val="en-US"/>
        </w:rPr>
        <w:t>Risk</w:t>
      </w:r>
      <w:r w:rsidRPr="003F6E95">
        <w:rPr>
          <w:rFonts w:ascii="Times New Roman" w:hAnsi="Times New Roman" w:cs="Times New Roman"/>
          <w:sz w:val="27"/>
          <w:szCs w:val="27"/>
        </w:rPr>
        <w:t xml:space="preserve">) модельного портфеля депозитов за период с 01.04.2014 по 24.02.2015. Предположим, что средства в равных долях распределены между десятью банками (Топ-10 кредитных организаций России по объему чистых активов). </w:t>
      </w:r>
    </w:p>
    <w:p w:rsidR="00A22665" w:rsidRDefault="00A22665" w:rsidP="00A22665">
      <w:pPr>
        <w:spacing w:after="120"/>
        <w:ind w:firstLine="567"/>
        <w:jc w:val="both"/>
        <w:rPr>
          <w:rFonts w:ascii="Times New Roman" w:hAnsi="Times New Roman" w:cs="Times New Roman"/>
        </w:rPr>
      </w:pPr>
    </w:p>
    <w:p w:rsidR="00A22665" w:rsidRDefault="00A22665" w:rsidP="00A22665">
      <w:pPr>
        <w:spacing w:after="0"/>
        <w:jc w:val="both"/>
        <w:rPr>
          <w:rFonts w:ascii="Times New Roman" w:hAnsi="Times New Roman" w:cs="Times New Roman"/>
        </w:rPr>
      </w:pPr>
      <w:r>
        <w:rPr>
          <w:noProof/>
          <w:lang w:eastAsia="ru-RU"/>
        </w:rPr>
        <w:lastRenderedPageBreak/>
        <w:drawing>
          <wp:inline distT="0" distB="0" distL="0" distR="0" wp14:anchorId="1E0276C4" wp14:editId="5F930EA6">
            <wp:extent cx="6238875" cy="2957830"/>
            <wp:effectExtent l="19050" t="0" r="9525" b="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A22665" w:rsidRPr="00A735AF" w:rsidRDefault="00A22665" w:rsidP="00A22665">
      <w:pPr>
        <w:spacing w:after="120"/>
        <w:jc w:val="both"/>
        <w:rPr>
          <w:rFonts w:ascii="Times New Roman" w:hAnsi="Times New Roman" w:cs="Times New Roman"/>
          <w:sz w:val="20"/>
          <w:szCs w:val="20"/>
        </w:rPr>
      </w:pPr>
      <w:r w:rsidRPr="00A735AF">
        <w:rPr>
          <w:rFonts w:ascii="Times New Roman" w:hAnsi="Times New Roman" w:cs="Times New Roman"/>
          <w:sz w:val="20"/>
          <w:szCs w:val="20"/>
        </w:rPr>
        <w:t>Рис. 10: динамика показателя кредитного VAR Топ-10 кредитных организаций России по объему чистых активов.</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На рисунке 10 можно видеть увеличение показателя CVAR почти в 1,5 раза. Такой рост во второй половине 2014 года во многом связан с пересмотром рейтингов Российской Федерации международными рейтинговыми агентствами и, как следствие, снижением рейтингов кредитных организаций России.  </w:t>
      </w:r>
    </w:p>
    <w:p w:rsidR="00A22665" w:rsidRPr="003F6E95" w:rsidRDefault="00A22665" w:rsidP="00A22665">
      <w:pPr>
        <w:spacing w:after="0" w:line="360" w:lineRule="auto"/>
        <w:ind w:firstLine="709"/>
        <w:jc w:val="both"/>
        <w:rPr>
          <w:rFonts w:ascii="Times New Roman" w:hAnsi="Times New Roman" w:cs="Times New Roman"/>
          <w:sz w:val="27"/>
          <w:szCs w:val="27"/>
        </w:rPr>
      </w:pPr>
    </w:p>
    <w:p w:rsidR="00A22665" w:rsidRPr="003F6E95" w:rsidRDefault="00A22665" w:rsidP="00A22665">
      <w:pPr>
        <w:pStyle w:val="2"/>
        <w:keepNext w:val="0"/>
        <w:spacing w:before="0" w:line="360" w:lineRule="auto"/>
        <w:ind w:firstLine="709"/>
        <w:jc w:val="center"/>
        <w:rPr>
          <w:rFonts w:ascii="Times New Roman" w:hAnsi="Times New Roman" w:cs="Times New Roman"/>
          <w:b/>
          <w:color w:val="auto"/>
          <w:sz w:val="27"/>
          <w:szCs w:val="27"/>
        </w:rPr>
      </w:pPr>
      <w:r w:rsidRPr="003F6E95">
        <w:rPr>
          <w:rFonts w:ascii="Times New Roman" w:hAnsi="Times New Roman" w:cs="Times New Roman"/>
          <w:b/>
          <w:color w:val="auto"/>
          <w:sz w:val="27"/>
          <w:szCs w:val="27"/>
        </w:rPr>
        <w:t>Основные задачи, возникающие перед Фондами в процессе инвестирования пенсионных средств в условиях кризиса</w:t>
      </w:r>
    </w:p>
    <w:p w:rsidR="00A22665" w:rsidRPr="003F6E95" w:rsidRDefault="00A22665" w:rsidP="00A22665">
      <w:pPr>
        <w:spacing w:after="0" w:line="360" w:lineRule="auto"/>
        <w:ind w:firstLine="709"/>
        <w:jc w:val="both"/>
        <w:rPr>
          <w:sz w:val="27"/>
          <w:szCs w:val="27"/>
        </w:rPr>
      </w:pP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С целью соблюдения принципов инвестирования пенсионных накоплений  и размещения пенсионных резервов в условиях кризиса, перед Фондами возникают следующие основные задачи:</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увеличение кредитного качества долговых финансовых инструментов инвестиционного портфеля;</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формирование достаточной «подушки» ликвидности, для обеспечения непрерывной деятельности Фонда (без необходимости реализации неликвидных активов на падающем рынке).</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иммунизация портфеля долговых ценных бумаг согласно выбранному инвестиционному горизонту;</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формирование доли активов чувствительных к изменению фондовых индексов, с учетом компенсации возможных убытков (согласно стрессовым </w:t>
      </w:r>
      <w:r w:rsidRPr="003F6E95">
        <w:rPr>
          <w:rFonts w:ascii="Times New Roman" w:hAnsi="Times New Roman" w:cs="Times New Roman"/>
          <w:sz w:val="27"/>
          <w:szCs w:val="27"/>
        </w:rPr>
        <w:lastRenderedPageBreak/>
        <w:t>сценариям поведения индексов) доходом от инструментов не подверженным (напрямую) фондовым рискам;</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уменьшение концентрации активов в секторах экономики в большей степени подверженных рецессии;</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диверсификация активов по отраслям и эмитентам;</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непрерывный мониторинг уровня риска инвестиционного портфеля; </w:t>
      </w:r>
    </w:p>
    <w:p w:rsidR="00A22665" w:rsidRPr="003F6E95" w:rsidRDefault="00A22665" w:rsidP="00A22665">
      <w:pPr>
        <w:pStyle w:val="a8"/>
        <w:numPr>
          <w:ilvl w:val="0"/>
          <w:numId w:val="4"/>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регулярное проведение встреч с представителями управляющих компаний, с целью формирования единых подходов к управлению рисками, обсуждения инвестиционной стратегии, текущих и будущих задач.</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Поскольку </w:t>
      </w:r>
      <w:proofErr w:type="spellStart"/>
      <w:r w:rsidRPr="003F6E95">
        <w:rPr>
          <w:rFonts w:ascii="Times New Roman" w:hAnsi="Times New Roman" w:cs="Times New Roman"/>
          <w:sz w:val="27"/>
          <w:szCs w:val="27"/>
        </w:rPr>
        <w:t>аллокация</w:t>
      </w:r>
      <w:proofErr w:type="spellEnd"/>
      <w:r w:rsidRPr="003F6E95">
        <w:rPr>
          <w:rFonts w:ascii="Times New Roman" w:hAnsi="Times New Roman" w:cs="Times New Roman"/>
          <w:sz w:val="27"/>
          <w:szCs w:val="27"/>
        </w:rPr>
        <w:t xml:space="preserve"> активов в условиях кризиса </w:t>
      </w:r>
      <w:proofErr w:type="gramStart"/>
      <w:r w:rsidRPr="003F6E95">
        <w:rPr>
          <w:rFonts w:ascii="Times New Roman" w:hAnsi="Times New Roman" w:cs="Times New Roman"/>
          <w:sz w:val="27"/>
          <w:szCs w:val="27"/>
        </w:rPr>
        <w:t>затруднительна</w:t>
      </w:r>
      <w:proofErr w:type="gramEnd"/>
      <w:r w:rsidRPr="003F6E95">
        <w:rPr>
          <w:rFonts w:ascii="Times New Roman" w:hAnsi="Times New Roman" w:cs="Times New Roman"/>
          <w:sz w:val="27"/>
          <w:szCs w:val="27"/>
        </w:rPr>
        <w:t xml:space="preserve">, одной из важнейших задач для Фондов является заблаговременное выявление признаков рецессии, регулярное проведение стресс тестов.  </w:t>
      </w:r>
    </w:p>
    <w:p w:rsidR="00A22665" w:rsidRPr="003F6E95" w:rsidRDefault="00A22665" w:rsidP="00A22665">
      <w:pPr>
        <w:spacing w:after="0" w:line="360" w:lineRule="auto"/>
        <w:ind w:firstLine="709"/>
        <w:jc w:val="center"/>
        <w:rPr>
          <w:rFonts w:ascii="Times New Roman" w:hAnsi="Times New Roman" w:cs="Times New Roman"/>
          <w:sz w:val="27"/>
          <w:szCs w:val="27"/>
        </w:rPr>
      </w:pPr>
    </w:p>
    <w:p w:rsidR="00A22665" w:rsidRPr="003F6E95" w:rsidRDefault="00A22665" w:rsidP="00A22665">
      <w:pPr>
        <w:pStyle w:val="2"/>
        <w:keepNext w:val="0"/>
        <w:spacing w:before="0" w:line="360" w:lineRule="auto"/>
        <w:ind w:firstLine="709"/>
        <w:jc w:val="center"/>
        <w:rPr>
          <w:rFonts w:ascii="Times New Roman" w:hAnsi="Times New Roman" w:cs="Times New Roman"/>
          <w:b/>
          <w:color w:val="auto"/>
          <w:sz w:val="27"/>
          <w:szCs w:val="27"/>
        </w:rPr>
      </w:pPr>
      <w:r w:rsidRPr="003F6E95">
        <w:rPr>
          <w:rFonts w:ascii="Times New Roman" w:hAnsi="Times New Roman" w:cs="Times New Roman"/>
          <w:b/>
          <w:color w:val="auto"/>
          <w:sz w:val="27"/>
          <w:szCs w:val="27"/>
        </w:rPr>
        <w:t>Основные инструменты решения задач, возникающих в процессе инвестирования пенсионных средств в НПФ «</w:t>
      </w:r>
      <w:proofErr w:type="spellStart"/>
      <w:r w:rsidRPr="003F6E95">
        <w:rPr>
          <w:rFonts w:ascii="Times New Roman" w:hAnsi="Times New Roman" w:cs="Times New Roman"/>
          <w:b/>
          <w:color w:val="auto"/>
          <w:sz w:val="27"/>
          <w:szCs w:val="27"/>
        </w:rPr>
        <w:t>Атомгарант</w:t>
      </w:r>
      <w:proofErr w:type="spellEnd"/>
      <w:r w:rsidRPr="003F6E95">
        <w:rPr>
          <w:rFonts w:ascii="Times New Roman" w:hAnsi="Times New Roman" w:cs="Times New Roman"/>
          <w:b/>
          <w:color w:val="auto"/>
          <w:sz w:val="27"/>
          <w:szCs w:val="27"/>
        </w:rPr>
        <w:t>»</w:t>
      </w:r>
    </w:p>
    <w:p w:rsidR="00A22665" w:rsidRPr="003F6E95" w:rsidRDefault="00A22665" w:rsidP="00A22665">
      <w:pPr>
        <w:spacing w:after="0" w:line="360" w:lineRule="auto"/>
        <w:ind w:firstLine="709"/>
        <w:jc w:val="both"/>
        <w:rPr>
          <w:sz w:val="27"/>
          <w:szCs w:val="27"/>
        </w:rPr>
      </w:pP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Для решения задач возникающих в процессе инвестирования (в том числе в период кризиса), НПФ «</w:t>
      </w:r>
      <w:proofErr w:type="spellStart"/>
      <w:r w:rsidRPr="003F6E95">
        <w:rPr>
          <w:rFonts w:ascii="Times New Roman" w:hAnsi="Times New Roman" w:cs="Times New Roman"/>
          <w:sz w:val="27"/>
          <w:szCs w:val="27"/>
        </w:rPr>
        <w:t>Атомгарант</w:t>
      </w:r>
      <w:proofErr w:type="spellEnd"/>
      <w:r w:rsidRPr="003F6E95">
        <w:rPr>
          <w:rFonts w:ascii="Times New Roman" w:hAnsi="Times New Roman" w:cs="Times New Roman"/>
          <w:sz w:val="27"/>
          <w:szCs w:val="27"/>
        </w:rPr>
        <w:t>» (далее -  Фонд) применяет комплексный подход, который включает:</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Принятие инвестиционных решений на основе всестороннего анализа рисков таких решений;</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Перед принятием инвестиционных решений, служба риск-менеджмент Фонда осуществляет оценку возможных рисков таких решений. Риски, связанные с принятием инвестиционных решений обсуждаются на Инвестиционном комитете и при необходимости выносятся на обсуждение Исполнительной дирекции. </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Коллегиальное принятие инвестиционных решений;</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Согласно Уставу Фонда  Исполнительная дирекция утверждает приоритетные направлений размещения средств пенсионных резервов и инвестирования пенсионных накоплений (далее – Приоритетные направления). Все оперативные решения по инвестированию пенсионных накоплений и размещению пенсионных резервов принимаются коллегиально на заседании Инвестиционного комитета. </w:t>
      </w:r>
      <w:r w:rsidRPr="003F6E95">
        <w:rPr>
          <w:rFonts w:ascii="Times New Roman" w:hAnsi="Times New Roman" w:cs="Times New Roman"/>
          <w:sz w:val="27"/>
          <w:szCs w:val="27"/>
        </w:rPr>
        <w:lastRenderedPageBreak/>
        <w:t>Инвестиционный комитет принимает решения с учетом Приоритетных направлений и рекомендаций службы риск-менеджмент. Особые мнения членов Инвестиционного комитета рассматриваются на заседании Исполнительной дирекции.</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Коллегиальное принятие решений в процессе управления рисками;</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Задачи, возникающие в процессе управления рисками, рассматриваются на заседании Инвестиционного комитета. Инвестиционный комитет принимает решения  с учетом основных принципов принятия риска установленных Исполнительной дирекцией в рамках Приоритетных направлений. Особые мнения членов Инвестиционного комитета рассматриваются на заседании Исполнительной дирекции.</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Прямое взаимодействие представителей службы риск менеджмент с Президентом Фонда. </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Руководитель службы риск-менеджмент вправе напрямую обратиться к Президенту Фонда по любым вопросам, возникающим в процессе управления рисками, предоставлять Президенту Фонда рекомендации по внедрению процесса управления рисками в процесс инвестирования и формирования инвестиционной стратегии Фонда. </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Формирование и регулярный пересмотр лимитов в процессе инвестирования, с учетом оценки рисков;</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В рамках утвержденных Приоритетных направлений, Инвестиционный комитет разрабатывает лимиты на кредитные организации, управляющие компании, эмитентов ценных бумаг, лимиты на виды активов, кредитное качество активов, срочность погашения активов, лимиты на группы активов с учетом отраслевой принадлежности эмитентов таких активов. Инвестиционный комитет формирует лимиты на активы с учетом следующих показателей: финансовых показателей устойчивости эмитентов, кредитных организаций, рыночной ликвидности выпуска ценных бумаг, позиции на финансовом рынке эмитентов ценных бумаг и кредитных организаций, уязвимости отдельных отраслей экономики в период кризиса, текущего состояния фондового рынка, текущего состояния и прогнозов развития экономики страны. </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Непрерывный мониторинг рисков инвестиционных портфелей;</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lastRenderedPageBreak/>
        <w:t xml:space="preserve">Представители службы риск-менеджмент Фонда непрерывно осуществляют мониторинг рисков инвестиционных портфелей Фонда. Для оперативности процесса выявления и оценки рисков в Фонде осуществляется автоматизация расчетов показателей, применяемых в рамках функционирования системы риск-менеджмент Фонда. На регулярной основе Президенту Фонда представляются отчеты об уровне риска, эффективности управления, сомнительных сделках управляющих компаний. </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Регулярное (не реже одного раза в квартал) проведение встреч челнов инвестиционного комитета с представителями управляющих компаний. </w:t>
      </w:r>
    </w:p>
    <w:p w:rsidR="00A22665" w:rsidRPr="003F6E95" w:rsidRDefault="00A22665" w:rsidP="00A22665">
      <w:pPr>
        <w:pStyle w:val="a8"/>
        <w:spacing w:after="0" w:line="360" w:lineRule="auto"/>
        <w:ind w:left="0" w:firstLine="709"/>
        <w:jc w:val="both"/>
        <w:rPr>
          <w:rFonts w:ascii="Times New Roman" w:hAnsi="Times New Roman" w:cs="Times New Roman"/>
          <w:sz w:val="27"/>
          <w:szCs w:val="27"/>
        </w:rPr>
      </w:pPr>
      <w:r w:rsidRPr="003F6E95">
        <w:rPr>
          <w:rFonts w:ascii="Times New Roman" w:hAnsi="Times New Roman" w:cs="Times New Roman"/>
          <w:sz w:val="27"/>
          <w:szCs w:val="27"/>
        </w:rPr>
        <w:t>Не реже одного раза  квартал члены инвестиционного комитета встречаются с руководством управляющих компаний. При необходимости на встречи приглашаются представители службы риск-менеджмент управляющих компаний и представители управляющих активами. На встречах рассматриваются текущие задачи, подводятся итоги управления активами Фонда в отчетном квартале, обсуждаются риски инвестиционных портфелей.</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Регламентация процессов принятия инвестиционных решений и управления рисками;</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В Фонде разработаны регламенты и положения, определяющие процессы принятия инвестиционных решений и управления рисками. В положении системы риск-менеджмент четко прописаны функции и полномочия участников системы риск-менеджмент, с целью оптимизации процессов инвестирования и управления рисками и недопущения конфликта интересов. В регламентах отражаются процессы взаимодействия Фонда с финансовыми контрагентами в нормальных условиях и в условиях повышенной вероятности реализации рисков. Указан порядок действия Фонда (в том числе функции и полномочия сотрудников Фонда) в случае реализации рисковых событий. В документах, определяющих функционирование системы риск-менеджмент Фонда, указываются порядок и периодичность пересмотра таких документов.</w:t>
      </w:r>
    </w:p>
    <w:p w:rsidR="00A22665" w:rsidRPr="003F6E95" w:rsidRDefault="00A22665" w:rsidP="00A22665">
      <w:pPr>
        <w:pStyle w:val="a8"/>
        <w:numPr>
          <w:ilvl w:val="0"/>
          <w:numId w:val="6"/>
        </w:numPr>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Анализ результатов инвестирования, совершенствование системы риск-менеджмент и процедур принятия инвестиционных решений.</w:t>
      </w:r>
    </w:p>
    <w:p w:rsidR="00A22665" w:rsidRPr="003F6E95" w:rsidRDefault="00A22665" w:rsidP="00A22665">
      <w:pPr>
        <w:pStyle w:val="a8"/>
        <w:spacing w:after="0" w:line="360" w:lineRule="auto"/>
        <w:ind w:left="0" w:firstLine="709"/>
        <w:contextualSpacing w:val="0"/>
        <w:jc w:val="both"/>
        <w:rPr>
          <w:rFonts w:ascii="Times New Roman" w:hAnsi="Times New Roman" w:cs="Times New Roman"/>
          <w:sz w:val="27"/>
          <w:szCs w:val="27"/>
        </w:rPr>
      </w:pPr>
      <w:r w:rsidRPr="003F6E95">
        <w:rPr>
          <w:rFonts w:ascii="Times New Roman" w:hAnsi="Times New Roman" w:cs="Times New Roman"/>
          <w:sz w:val="27"/>
          <w:szCs w:val="27"/>
        </w:rPr>
        <w:t xml:space="preserve">Данные о реализациях либо  возможных реализациях рисков фиксируются в базе данных. На основе таких данных осуществляется пересмотр процедур, функций </w:t>
      </w:r>
      <w:r w:rsidRPr="003F6E95">
        <w:rPr>
          <w:rFonts w:ascii="Times New Roman" w:hAnsi="Times New Roman" w:cs="Times New Roman"/>
          <w:sz w:val="27"/>
          <w:szCs w:val="27"/>
        </w:rPr>
        <w:lastRenderedPageBreak/>
        <w:t xml:space="preserve">и внутренних документов системы риск-менеджмент. Регулярно проводится тестирование моделей оценки и выявления рисков Фонда. Процедуры и функции системы риск-менеджмент пересматриваются в случае появления новых (более эффективных) методик, стандартов, рекомендаций и требований к системе риск-менеджмент. </w:t>
      </w:r>
    </w:p>
    <w:p w:rsidR="00A22665" w:rsidRPr="003F6E9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Кризис 2008 года показал всю несостоятельность действующей на тот момент системы «доверительного» управления, выявив «слабости» не только негосударственных пенсионных фондов, но и систем управления рисками  управляющих компаний. На это неоднократно указывали </w:t>
      </w:r>
      <w:proofErr w:type="gramStart"/>
      <w:r w:rsidRPr="003F6E95">
        <w:rPr>
          <w:rFonts w:ascii="Times New Roman" w:hAnsi="Times New Roman" w:cs="Times New Roman"/>
          <w:sz w:val="27"/>
          <w:szCs w:val="27"/>
        </w:rPr>
        <w:t>представители</w:t>
      </w:r>
      <w:proofErr w:type="gramEnd"/>
      <w:r w:rsidRPr="003F6E95">
        <w:rPr>
          <w:rFonts w:ascii="Times New Roman" w:hAnsi="Times New Roman" w:cs="Times New Roman"/>
          <w:sz w:val="27"/>
          <w:szCs w:val="27"/>
        </w:rPr>
        <w:t xml:space="preserve"> как пенсионных фондов так и самих управляющих компаний. </w:t>
      </w:r>
    </w:p>
    <w:p w:rsidR="00A22665" w:rsidRDefault="00A22665" w:rsidP="00A22665">
      <w:pPr>
        <w:spacing w:after="0" w:line="360" w:lineRule="auto"/>
        <w:ind w:firstLine="709"/>
        <w:jc w:val="both"/>
        <w:rPr>
          <w:rFonts w:ascii="Times New Roman" w:hAnsi="Times New Roman" w:cs="Times New Roman"/>
          <w:sz w:val="27"/>
          <w:szCs w:val="27"/>
        </w:rPr>
      </w:pPr>
      <w:r w:rsidRPr="003F6E95">
        <w:rPr>
          <w:rFonts w:ascii="Times New Roman" w:hAnsi="Times New Roman" w:cs="Times New Roman"/>
          <w:sz w:val="27"/>
          <w:szCs w:val="27"/>
        </w:rPr>
        <w:t xml:space="preserve">Был ли учтен опыт 2008 года? </w:t>
      </w:r>
      <w:proofErr w:type="gramStart"/>
      <w:r w:rsidRPr="003F6E95">
        <w:rPr>
          <w:rFonts w:ascii="Times New Roman" w:hAnsi="Times New Roman" w:cs="Times New Roman"/>
          <w:sz w:val="27"/>
          <w:szCs w:val="27"/>
        </w:rPr>
        <w:t xml:space="preserve">В течение 2014 года, в условиях </w:t>
      </w:r>
      <w:proofErr w:type="spellStart"/>
      <w:r w:rsidRPr="003F6E95">
        <w:rPr>
          <w:rFonts w:ascii="Times New Roman" w:hAnsi="Times New Roman" w:cs="Times New Roman"/>
          <w:sz w:val="27"/>
          <w:szCs w:val="27"/>
        </w:rPr>
        <w:t>санкционного</w:t>
      </w:r>
      <w:proofErr w:type="spellEnd"/>
      <w:r w:rsidRPr="003F6E95">
        <w:rPr>
          <w:rFonts w:ascii="Times New Roman" w:hAnsi="Times New Roman" w:cs="Times New Roman"/>
          <w:sz w:val="27"/>
          <w:szCs w:val="27"/>
        </w:rPr>
        <w:t xml:space="preserve"> давления, снижения стоимости нефтяных продуктов, падения национальной валюты наблюдался рост процентных ставок, снижение ликвидности на рынке долговых ценных бумаг, сильные колебания фондового индекса, понижение рейтингов Российской Федерации международными рейтинговыми агентствами, отток капитала, снижение спроса, ухудшение деловой активности и прочие признаки кризиса в экономике страны.</w:t>
      </w:r>
      <w:proofErr w:type="gramEnd"/>
      <w:r w:rsidRPr="003F6E95">
        <w:rPr>
          <w:rFonts w:ascii="Times New Roman" w:hAnsi="Times New Roman" w:cs="Times New Roman"/>
          <w:sz w:val="27"/>
          <w:szCs w:val="27"/>
        </w:rPr>
        <w:t xml:space="preserve"> По результатам 2014 года 11 из 41 управляющих компаний осуществляющих инвестирование средств пенсионных накоплений показали отрицательную доходность. Средняя доходность управляющих компаний составила 1,35%. По результатам 2014 года все НПФ из Топ-10 (по объему пенсионных накоплений) показали положительную доходность инвестирования пенсионных накоплений (средняя доходность таких фондов составила 3,61%). Доходность инвестиционного портфеля пенсионных накоплений НПФ «</w:t>
      </w:r>
      <w:proofErr w:type="spellStart"/>
      <w:r w:rsidRPr="003F6E95">
        <w:rPr>
          <w:rFonts w:ascii="Times New Roman" w:hAnsi="Times New Roman" w:cs="Times New Roman"/>
          <w:sz w:val="27"/>
          <w:szCs w:val="27"/>
        </w:rPr>
        <w:t>Атомгарант</w:t>
      </w:r>
      <w:proofErr w:type="spellEnd"/>
      <w:r w:rsidRPr="003F6E95">
        <w:rPr>
          <w:rFonts w:ascii="Times New Roman" w:hAnsi="Times New Roman" w:cs="Times New Roman"/>
          <w:sz w:val="27"/>
          <w:szCs w:val="27"/>
        </w:rPr>
        <w:t>» по результатам 2014 год составила 4,55%.</w:t>
      </w:r>
    </w:p>
    <w:p w:rsidR="000A7EB9" w:rsidRDefault="000A7EB9" w:rsidP="00A22665">
      <w:pPr>
        <w:spacing w:after="0" w:line="360" w:lineRule="auto"/>
        <w:ind w:firstLine="709"/>
        <w:jc w:val="both"/>
        <w:rPr>
          <w:rFonts w:ascii="Times New Roman" w:hAnsi="Times New Roman" w:cs="Times New Roman"/>
          <w:sz w:val="27"/>
          <w:szCs w:val="27"/>
        </w:rPr>
      </w:pPr>
    </w:p>
    <w:p w:rsidR="000A7EB9" w:rsidRDefault="000A7EB9" w:rsidP="00A22665">
      <w:pPr>
        <w:spacing w:after="0" w:line="360" w:lineRule="auto"/>
        <w:ind w:firstLine="709"/>
        <w:jc w:val="both"/>
        <w:rPr>
          <w:rFonts w:ascii="Times New Roman" w:hAnsi="Times New Roman" w:cs="Times New Roman"/>
          <w:sz w:val="27"/>
          <w:szCs w:val="27"/>
        </w:rPr>
      </w:pPr>
    </w:p>
    <w:p w:rsidR="000A7EB9" w:rsidRDefault="000A7EB9" w:rsidP="00A22665">
      <w:pPr>
        <w:spacing w:after="0" w:line="360" w:lineRule="auto"/>
        <w:ind w:firstLine="709"/>
        <w:jc w:val="both"/>
        <w:rPr>
          <w:rFonts w:ascii="Times New Roman" w:hAnsi="Times New Roman" w:cs="Times New Roman"/>
          <w:sz w:val="27"/>
          <w:szCs w:val="27"/>
        </w:rPr>
      </w:pPr>
    </w:p>
    <w:p w:rsidR="000A7EB9" w:rsidRDefault="000A7EB9" w:rsidP="00A22665">
      <w:pPr>
        <w:spacing w:after="0" w:line="360" w:lineRule="auto"/>
        <w:ind w:firstLine="709"/>
        <w:jc w:val="both"/>
        <w:rPr>
          <w:rFonts w:ascii="Times New Roman" w:hAnsi="Times New Roman" w:cs="Times New Roman"/>
          <w:sz w:val="27"/>
          <w:szCs w:val="27"/>
        </w:rPr>
      </w:pPr>
    </w:p>
    <w:p w:rsidR="000A7EB9" w:rsidRDefault="000A7EB9" w:rsidP="00A22665">
      <w:pPr>
        <w:spacing w:after="0" w:line="360" w:lineRule="auto"/>
        <w:ind w:firstLine="709"/>
        <w:jc w:val="both"/>
        <w:rPr>
          <w:rFonts w:ascii="Times New Roman" w:hAnsi="Times New Roman" w:cs="Times New Roman"/>
          <w:sz w:val="27"/>
          <w:szCs w:val="27"/>
        </w:rPr>
      </w:pPr>
    </w:p>
    <w:p w:rsidR="000A7EB9" w:rsidRDefault="000A7EB9" w:rsidP="00A22665">
      <w:pPr>
        <w:spacing w:after="0" w:line="360" w:lineRule="auto"/>
        <w:ind w:firstLine="709"/>
        <w:jc w:val="both"/>
        <w:rPr>
          <w:rFonts w:ascii="Times New Roman" w:hAnsi="Times New Roman" w:cs="Times New Roman"/>
          <w:sz w:val="27"/>
          <w:szCs w:val="27"/>
        </w:rPr>
      </w:pPr>
    </w:p>
    <w:p w:rsidR="000A7EB9" w:rsidRDefault="000A7EB9" w:rsidP="00A22665">
      <w:pPr>
        <w:spacing w:after="0" w:line="360" w:lineRule="auto"/>
        <w:ind w:firstLine="709"/>
        <w:jc w:val="both"/>
        <w:rPr>
          <w:rFonts w:ascii="Times New Roman" w:hAnsi="Times New Roman" w:cs="Times New Roman"/>
          <w:sz w:val="27"/>
          <w:szCs w:val="27"/>
        </w:rPr>
      </w:pPr>
    </w:p>
    <w:p w:rsidR="00A22665" w:rsidRPr="000A7EB9" w:rsidRDefault="00A22665" w:rsidP="000A7EB9">
      <w:pPr>
        <w:spacing w:after="0" w:line="360" w:lineRule="auto"/>
        <w:ind w:firstLine="709"/>
        <w:jc w:val="center"/>
        <w:rPr>
          <w:rFonts w:ascii="Times New Roman" w:hAnsi="Times New Roman"/>
          <w:b/>
          <w:noProof/>
          <w:color w:val="FF0000"/>
          <w:sz w:val="32"/>
          <w:szCs w:val="27"/>
          <w:u w:val="single"/>
          <w:lang w:eastAsia="ru-RU"/>
        </w:rPr>
      </w:pPr>
      <w:r w:rsidRPr="000A7EB9">
        <w:rPr>
          <w:rFonts w:ascii="Times New Roman" w:hAnsi="Times New Roman"/>
          <w:b/>
          <w:noProof/>
          <w:color w:val="FF0000"/>
          <w:sz w:val="32"/>
          <w:szCs w:val="27"/>
          <w:u w:val="single"/>
          <w:lang w:eastAsia="ru-RU"/>
        </w:rPr>
        <w:lastRenderedPageBreak/>
        <w:t>В ЦЕНТРЕ ВНИМАНИЯ</w:t>
      </w:r>
    </w:p>
    <w:p w:rsidR="00A22665" w:rsidRDefault="00A22665" w:rsidP="00A22665">
      <w:pPr>
        <w:spacing w:after="0" w:line="360" w:lineRule="auto"/>
        <w:ind w:firstLine="709"/>
        <w:jc w:val="both"/>
        <w:rPr>
          <w:rFonts w:ascii="Times New Roman" w:hAnsi="Times New Roman"/>
          <w:noProof/>
          <w:sz w:val="27"/>
          <w:szCs w:val="27"/>
          <w:lang w:eastAsia="ru-RU"/>
        </w:rPr>
      </w:pPr>
    </w:p>
    <w:p w:rsidR="00A22665" w:rsidRPr="00411DEC" w:rsidRDefault="00A22665" w:rsidP="00A22665">
      <w:pPr>
        <w:pStyle w:val="1"/>
        <w:jc w:val="center"/>
        <w:rPr>
          <w:rFonts w:ascii="Times New Roman" w:hAnsi="Times New Roman" w:cs="Times New Roman"/>
          <w:b/>
          <w:color w:val="000000" w:themeColor="text1"/>
          <w:sz w:val="28"/>
          <w:szCs w:val="27"/>
        </w:rPr>
      </w:pPr>
      <w:r w:rsidRPr="00411DEC">
        <w:rPr>
          <w:rFonts w:ascii="Times New Roman" w:hAnsi="Times New Roman" w:cs="Times New Roman"/>
          <w:b/>
          <w:color w:val="000000" w:themeColor="text1"/>
          <w:sz w:val="28"/>
          <w:szCs w:val="27"/>
        </w:rPr>
        <w:t>В Москве прошел актуарный форум</w:t>
      </w:r>
    </w:p>
    <w:p w:rsidR="00A22665" w:rsidRPr="00A22665" w:rsidRDefault="00A22665" w:rsidP="00A22665"/>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r w:rsidRPr="00B312D9">
        <w:rPr>
          <w:rFonts w:ascii="Times New Roman" w:hAnsi="Times New Roman" w:cs="Times New Roman"/>
          <w:color w:val="000000" w:themeColor="text1"/>
          <w:sz w:val="27"/>
          <w:szCs w:val="27"/>
        </w:rPr>
        <w:t>29-30 июня 2015 года прошел первый Московский актуарный форум, организованный Ассоциацией профессиональных актуариев (АПА) при поддержке Гильдии актуариев, Национальной ассоциации пенсионных фондов (НАПФ) и Всероссийского союза страховщиков (ВСС). Форум собрал 150 участников – российских актуариев и представителей финансовых рынков.</w:t>
      </w:r>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r w:rsidRPr="00B312D9">
        <w:rPr>
          <w:rFonts w:ascii="Times New Roman" w:hAnsi="Times New Roman" w:cs="Times New Roman"/>
          <w:color w:val="000000" w:themeColor="text1"/>
          <w:sz w:val="27"/>
          <w:szCs w:val="27"/>
        </w:rPr>
        <w:t xml:space="preserve">Форум стал главной площадкой для подведения итогов первого этапа развития актуарной профессии в России и выработки задач на среднесрочную перспективу. Свидетельством этому послужило большое внимание к мероприятию со стороны регулятора – Банка России – и профильных отраслевых союзов. Так, в своем приветственном слове к участникам форума Сергей Швецов, первый заместитель председателя Банка России, акцентировал внимание аудитории на месте и роли актуариев в финансовом управлении, принятии ключевых решений и мониторинге состояния финансовых институтов. Выступивший в следующей секции директор департамента страхового рынка Банка России Игорь Жук более детально остановился на функциях и задачах актуария с точки зрения надзорного органа: тарификации услуг, контроля качества активов и резервов наблюдаемых организаций. </w:t>
      </w:r>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r w:rsidRPr="00B312D9">
        <w:rPr>
          <w:rFonts w:ascii="Times New Roman" w:hAnsi="Times New Roman" w:cs="Times New Roman"/>
          <w:color w:val="000000" w:themeColor="text1"/>
          <w:sz w:val="27"/>
          <w:szCs w:val="27"/>
        </w:rPr>
        <w:t xml:space="preserve">Обе актуарных саморегулируемых организации представили на форуме свое программное видение дальнейшего развития актуарной профессии в России. Презентация Вячеслава </w:t>
      </w:r>
      <w:proofErr w:type="spellStart"/>
      <w:r w:rsidRPr="00B312D9">
        <w:rPr>
          <w:rFonts w:ascii="Times New Roman" w:hAnsi="Times New Roman" w:cs="Times New Roman"/>
          <w:color w:val="000000" w:themeColor="text1"/>
          <w:sz w:val="27"/>
          <w:szCs w:val="27"/>
        </w:rPr>
        <w:t>Шерстнева</w:t>
      </w:r>
      <w:proofErr w:type="spellEnd"/>
      <w:r w:rsidRPr="00B312D9">
        <w:rPr>
          <w:rFonts w:ascii="Times New Roman" w:hAnsi="Times New Roman" w:cs="Times New Roman"/>
          <w:color w:val="000000" w:themeColor="text1"/>
          <w:sz w:val="27"/>
          <w:szCs w:val="27"/>
        </w:rPr>
        <w:t>, председателя Совета АПА, была направлена на дальнейшую отработку вопросов регулирования деятельности актуариев, уточнение положений стандартов профессиональной деятельности, развитие саморегулирования. Владимир Новиков, председатель правления Гильдии актуариев, в большей степени остановился на развитии международных связей и использовании международного опыта для укрепления актуарной профессии в РФ.</w:t>
      </w:r>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r w:rsidRPr="00B312D9">
        <w:rPr>
          <w:rFonts w:ascii="Times New Roman" w:hAnsi="Times New Roman" w:cs="Times New Roman"/>
          <w:color w:val="000000" w:themeColor="text1"/>
          <w:sz w:val="27"/>
          <w:szCs w:val="27"/>
        </w:rPr>
        <w:lastRenderedPageBreak/>
        <w:t>В контексте дальнейшего вектора развития актуарной деятельности большой интерес представляли выступления на форуме представителей основных групп потребителей актуарных услуг. Константин Угрюмов, президент НАПФ, и Дмитрий Попов, председатель профильного для актуариев Комитета ВСС по тарифам, статистике и резервам, поделились своим видением дальнейших направлений активности работы с актуариями и совершенствования взаимодействия. В последующих дискуссиях на форуме участники много цитировали оба этих выступления.</w:t>
      </w:r>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proofErr w:type="gramStart"/>
      <w:r w:rsidRPr="00B312D9">
        <w:rPr>
          <w:rFonts w:ascii="Times New Roman" w:hAnsi="Times New Roman" w:cs="Times New Roman"/>
          <w:color w:val="000000" w:themeColor="text1"/>
          <w:sz w:val="27"/>
          <w:szCs w:val="27"/>
        </w:rPr>
        <w:t xml:space="preserve">Формирование контуров будущих задач актуариев завершилось презентациями </w:t>
      </w:r>
      <w:proofErr w:type="spellStart"/>
      <w:r w:rsidRPr="00B312D9">
        <w:rPr>
          <w:rFonts w:ascii="Times New Roman" w:hAnsi="Times New Roman" w:cs="Times New Roman"/>
          <w:color w:val="000000" w:themeColor="text1"/>
          <w:sz w:val="27"/>
          <w:szCs w:val="27"/>
        </w:rPr>
        <w:t>Акжаркын</w:t>
      </w:r>
      <w:proofErr w:type="spellEnd"/>
      <w:r w:rsidRPr="00B312D9">
        <w:rPr>
          <w:rFonts w:ascii="Times New Roman" w:hAnsi="Times New Roman" w:cs="Times New Roman"/>
          <w:color w:val="000000" w:themeColor="text1"/>
          <w:sz w:val="27"/>
          <w:szCs w:val="27"/>
        </w:rPr>
        <w:t xml:space="preserve"> </w:t>
      </w:r>
      <w:proofErr w:type="spellStart"/>
      <w:r w:rsidRPr="00B312D9">
        <w:rPr>
          <w:rFonts w:ascii="Times New Roman" w:hAnsi="Times New Roman" w:cs="Times New Roman"/>
          <w:color w:val="000000" w:themeColor="text1"/>
          <w:sz w:val="27"/>
          <w:szCs w:val="27"/>
        </w:rPr>
        <w:t>Кныковой</w:t>
      </w:r>
      <w:proofErr w:type="spellEnd"/>
      <w:r w:rsidRPr="00B312D9">
        <w:rPr>
          <w:rFonts w:ascii="Times New Roman" w:hAnsi="Times New Roman" w:cs="Times New Roman"/>
          <w:color w:val="000000" w:themeColor="text1"/>
          <w:sz w:val="27"/>
          <w:szCs w:val="27"/>
        </w:rPr>
        <w:t xml:space="preserve">, председателя правления «Общества актуариев Казахстана», рассказавшей о становлении профессии актуария у себя в стране и развитии системы актуарного образования, и Ибрагима </w:t>
      </w:r>
      <w:proofErr w:type="spellStart"/>
      <w:r w:rsidRPr="00B312D9">
        <w:rPr>
          <w:rFonts w:ascii="Times New Roman" w:hAnsi="Times New Roman" w:cs="Times New Roman"/>
          <w:color w:val="000000" w:themeColor="text1"/>
          <w:sz w:val="27"/>
          <w:szCs w:val="27"/>
        </w:rPr>
        <w:t>Маханны</w:t>
      </w:r>
      <w:proofErr w:type="spellEnd"/>
      <w:r w:rsidRPr="00B312D9">
        <w:rPr>
          <w:rFonts w:ascii="Times New Roman" w:hAnsi="Times New Roman" w:cs="Times New Roman"/>
          <w:color w:val="000000" w:themeColor="text1"/>
          <w:sz w:val="27"/>
          <w:szCs w:val="27"/>
        </w:rPr>
        <w:t>, представителя Международной актуарной ассоциации, вице-президента Технической комиссии по статистике, актуарным и финансовым исследованиям Международной ассоциации социального страхования, выступление которого было посвящено актуарным оценкам в системах социального страхования.</w:t>
      </w:r>
      <w:proofErr w:type="gramEnd"/>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r w:rsidRPr="00B312D9">
        <w:rPr>
          <w:rFonts w:ascii="Times New Roman" w:hAnsi="Times New Roman" w:cs="Times New Roman"/>
          <w:color w:val="000000" w:themeColor="text1"/>
          <w:sz w:val="27"/>
          <w:szCs w:val="27"/>
        </w:rPr>
        <w:t xml:space="preserve">Второй день, прошедший также при деятельном участии регулятора, был посвящен итогам первой волны обязательного актуарного оценивания страховых компаний и пенсионных фондов и дальнейшему уточнению стандартов профессиональной деятельности актуариев. Елена Чайковская, директор </w:t>
      </w:r>
      <w:proofErr w:type="gramStart"/>
      <w:r w:rsidRPr="00B312D9">
        <w:rPr>
          <w:rFonts w:ascii="Times New Roman" w:hAnsi="Times New Roman" w:cs="Times New Roman"/>
          <w:color w:val="000000" w:themeColor="text1"/>
          <w:sz w:val="27"/>
          <w:szCs w:val="27"/>
        </w:rPr>
        <w:t>департамента развития финансовых рынков Банка России</w:t>
      </w:r>
      <w:proofErr w:type="gramEnd"/>
      <w:r w:rsidRPr="00B312D9">
        <w:rPr>
          <w:rFonts w:ascii="Times New Roman" w:hAnsi="Times New Roman" w:cs="Times New Roman"/>
          <w:color w:val="000000" w:themeColor="text1"/>
          <w:sz w:val="27"/>
          <w:szCs w:val="27"/>
        </w:rPr>
        <w:t xml:space="preserve"> поделилась впечатлениями регулятора от первого этапа работы актуарного сообщества, акцентировав внимание на концептуальных вопросах проведения обязательного оценивания.</w:t>
      </w:r>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proofErr w:type="gramStart"/>
      <w:r w:rsidRPr="00B312D9">
        <w:rPr>
          <w:rFonts w:ascii="Times New Roman" w:hAnsi="Times New Roman" w:cs="Times New Roman"/>
          <w:color w:val="000000" w:themeColor="text1"/>
          <w:sz w:val="27"/>
          <w:szCs w:val="27"/>
        </w:rPr>
        <w:t>Завершился форум активной и живой дискуссией участников по стандартам актуарной деятельности, экспертами в которой выступили Ирина Мельникова, начальник управления СРО, рейтинговых агентств и актуарной деятельности Банка России, заместитель председателя Совета по актуарной деятельности при Банке России и руководители рабочих групп Совета по актуарной деятельности при Банке России по разработке стандартов Дмитрий Малых, Андрей Сафонов и Олег Котляров.</w:t>
      </w:r>
      <w:proofErr w:type="gramEnd"/>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r w:rsidRPr="00B312D9">
        <w:rPr>
          <w:rFonts w:ascii="Times New Roman" w:hAnsi="Times New Roman" w:cs="Times New Roman"/>
          <w:color w:val="000000" w:themeColor="text1"/>
          <w:sz w:val="27"/>
          <w:szCs w:val="27"/>
        </w:rPr>
        <w:lastRenderedPageBreak/>
        <w:t>Несмотря на насыщенность форума концептуальными вопросами, целому ряду ведущих российских актуариев удалось поделиться своими практическими результатами в организации актуарной работы, подходам к моделированию и полученными результатами, что сделало программу форума еще более насыщенной и полезной. Неоднократно звучавшие с трибуны и в кулуарах форума предложения сделать форум ежегодным и регулярным являются лучшей оценкой состоявшемуся событию.</w:t>
      </w:r>
    </w:p>
    <w:p w:rsidR="00A22665" w:rsidRPr="00B312D9" w:rsidRDefault="00A22665" w:rsidP="00A22665">
      <w:pPr>
        <w:spacing w:after="0" w:line="360" w:lineRule="auto"/>
        <w:ind w:firstLine="709"/>
        <w:jc w:val="both"/>
        <w:rPr>
          <w:rFonts w:ascii="Times New Roman" w:hAnsi="Times New Roman" w:cs="Times New Roman"/>
          <w:color w:val="000000" w:themeColor="text1"/>
          <w:sz w:val="27"/>
          <w:szCs w:val="27"/>
        </w:rPr>
      </w:pPr>
      <w:r w:rsidRPr="00B312D9">
        <w:rPr>
          <w:rFonts w:ascii="Times New Roman" w:hAnsi="Times New Roman" w:cs="Times New Roman"/>
          <w:color w:val="000000" w:themeColor="text1"/>
          <w:sz w:val="27"/>
          <w:szCs w:val="27"/>
        </w:rPr>
        <w:t>Презентации спикеров, материалы, раздававшиеся участникам форума, а также огромных архив замечательных фотографий доступны на сайте Ассоциации профессиональных актуариев (</w:t>
      </w:r>
      <w:hyperlink r:id="rId37" w:history="1">
        <w:r w:rsidRPr="00B312D9">
          <w:rPr>
            <w:rStyle w:val="a9"/>
            <w:rFonts w:ascii="Times New Roman" w:hAnsi="Times New Roman" w:cs="Times New Roman"/>
            <w:color w:val="000000" w:themeColor="text1"/>
            <w:sz w:val="27"/>
            <w:szCs w:val="27"/>
            <w:lang w:val="en-US"/>
          </w:rPr>
          <w:t>www</w:t>
        </w:r>
        <w:r w:rsidRPr="00B312D9">
          <w:rPr>
            <w:rStyle w:val="a9"/>
            <w:rFonts w:ascii="Times New Roman" w:hAnsi="Times New Roman" w:cs="Times New Roman"/>
            <w:color w:val="000000" w:themeColor="text1"/>
            <w:sz w:val="27"/>
            <w:szCs w:val="27"/>
          </w:rPr>
          <w:t>.</w:t>
        </w:r>
        <w:r w:rsidRPr="00B312D9">
          <w:rPr>
            <w:rStyle w:val="a9"/>
            <w:rFonts w:ascii="Times New Roman" w:hAnsi="Times New Roman" w:cs="Times New Roman"/>
            <w:color w:val="000000" w:themeColor="text1"/>
            <w:sz w:val="27"/>
            <w:szCs w:val="27"/>
            <w:lang w:val="en-US"/>
          </w:rPr>
          <w:t>actuary</w:t>
        </w:r>
        <w:r w:rsidRPr="00B312D9">
          <w:rPr>
            <w:rStyle w:val="a9"/>
            <w:rFonts w:ascii="Times New Roman" w:hAnsi="Times New Roman" w:cs="Times New Roman"/>
            <w:color w:val="000000" w:themeColor="text1"/>
            <w:sz w:val="27"/>
            <w:szCs w:val="27"/>
          </w:rPr>
          <w:t>.</w:t>
        </w:r>
        <w:r w:rsidRPr="00B312D9">
          <w:rPr>
            <w:rStyle w:val="a9"/>
            <w:rFonts w:ascii="Times New Roman" w:hAnsi="Times New Roman" w:cs="Times New Roman"/>
            <w:color w:val="000000" w:themeColor="text1"/>
            <w:sz w:val="27"/>
            <w:szCs w:val="27"/>
            <w:lang w:val="en-US"/>
          </w:rPr>
          <w:t>ru</w:t>
        </w:r>
      </w:hyperlink>
      <w:r w:rsidRPr="00B312D9">
        <w:rPr>
          <w:rFonts w:ascii="Times New Roman" w:hAnsi="Times New Roman" w:cs="Times New Roman"/>
          <w:color w:val="000000" w:themeColor="text1"/>
          <w:sz w:val="27"/>
          <w:szCs w:val="27"/>
        </w:rPr>
        <w:t>) и Актуарного совета (</w:t>
      </w:r>
      <w:hyperlink r:id="rId38" w:history="1">
        <w:r w:rsidRPr="00B312D9">
          <w:rPr>
            <w:rStyle w:val="a9"/>
            <w:rFonts w:ascii="Times New Roman" w:hAnsi="Times New Roman" w:cs="Times New Roman"/>
            <w:color w:val="000000" w:themeColor="text1"/>
            <w:sz w:val="27"/>
            <w:szCs w:val="27"/>
            <w:lang w:val="en-US"/>
          </w:rPr>
          <w:t>www</w:t>
        </w:r>
        <w:r w:rsidRPr="00B312D9">
          <w:rPr>
            <w:rStyle w:val="a9"/>
            <w:rFonts w:ascii="Times New Roman" w:hAnsi="Times New Roman" w:cs="Times New Roman"/>
            <w:color w:val="000000" w:themeColor="text1"/>
            <w:sz w:val="27"/>
            <w:szCs w:val="27"/>
          </w:rPr>
          <w:t>.</w:t>
        </w:r>
        <w:r w:rsidRPr="00B312D9">
          <w:rPr>
            <w:rStyle w:val="a9"/>
            <w:rFonts w:ascii="Times New Roman" w:hAnsi="Times New Roman" w:cs="Times New Roman"/>
            <w:color w:val="000000" w:themeColor="text1"/>
            <w:sz w:val="27"/>
            <w:szCs w:val="27"/>
            <w:lang w:val="en-US"/>
          </w:rPr>
          <w:t>actuarialboard</w:t>
        </w:r>
        <w:r w:rsidRPr="00B312D9">
          <w:rPr>
            <w:rStyle w:val="a9"/>
            <w:rFonts w:ascii="Times New Roman" w:hAnsi="Times New Roman" w:cs="Times New Roman"/>
            <w:color w:val="000000" w:themeColor="text1"/>
            <w:sz w:val="27"/>
            <w:szCs w:val="27"/>
          </w:rPr>
          <w:t>.</w:t>
        </w:r>
        <w:r w:rsidRPr="00B312D9">
          <w:rPr>
            <w:rStyle w:val="a9"/>
            <w:rFonts w:ascii="Times New Roman" w:hAnsi="Times New Roman" w:cs="Times New Roman"/>
            <w:color w:val="000000" w:themeColor="text1"/>
            <w:sz w:val="27"/>
            <w:szCs w:val="27"/>
            <w:lang w:val="en-US"/>
          </w:rPr>
          <w:t>ru</w:t>
        </w:r>
      </w:hyperlink>
      <w:r w:rsidRPr="00B312D9">
        <w:rPr>
          <w:rFonts w:ascii="Times New Roman" w:hAnsi="Times New Roman" w:cs="Times New Roman"/>
          <w:color w:val="000000" w:themeColor="text1"/>
          <w:sz w:val="27"/>
          <w:szCs w:val="27"/>
        </w:rPr>
        <w:t>).</w:t>
      </w:r>
    </w:p>
    <w:p w:rsidR="00A22665" w:rsidRDefault="00A22665" w:rsidP="00A22665">
      <w:pPr>
        <w:spacing w:after="0" w:line="360" w:lineRule="auto"/>
        <w:ind w:firstLine="709"/>
        <w:jc w:val="both"/>
      </w:pPr>
    </w:p>
    <w:p w:rsidR="00A22665" w:rsidRPr="00B312D9" w:rsidRDefault="00A22665" w:rsidP="00A22665">
      <w:pPr>
        <w:spacing w:after="0" w:line="360" w:lineRule="auto"/>
        <w:ind w:firstLine="709"/>
        <w:jc w:val="right"/>
        <w:rPr>
          <w:rFonts w:ascii="Times New Roman" w:hAnsi="Times New Roman" w:cs="Times New Roman"/>
          <w:b/>
          <w:i/>
          <w:sz w:val="28"/>
        </w:rPr>
      </w:pPr>
      <w:r w:rsidRPr="00B312D9">
        <w:rPr>
          <w:rFonts w:ascii="Times New Roman" w:hAnsi="Times New Roman" w:cs="Times New Roman"/>
          <w:b/>
          <w:i/>
          <w:sz w:val="28"/>
        </w:rPr>
        <w:t>Вадим Демченко</w:t>
      </w:r>
    </w:p>
    <w:p w:rsidR="00A22665" w:rsidRPr="00A22665" w:rsidRDefault="00A22665" w:rsidP="00A22665">
      <w:pPr>
        <w:spacing w:after="0" w:line="360" w:lineRule="auto"/>
        <w:ind w:firstLine="709"/>
        <w:jc w:val="both"/>
        <w:rPr>
          <w:rFonts w:ascii="Times New Roman" w:hAnsi="Times New Roman"/>
          <w:noProof/>
          <w:sz w:val="27"/>
          <w:szCs w:val="27"/>
          <w:lang w:eastAsia="ru-RU"/>
        </w:rPr>
      </w:pPr>
    </w:p>
    <w:p w:rsidR="00241981" w:rsidRPr="00FF14D3" w:rsidRDefault="00241981" w:rsidP="00241981">
      <w:pPr>
        <w:spacing w:after="0" w:line="360" w:lineRule="auto"/>
        <w:ind w:firstLine="709"/>
        <w:jc w:val="both"/>
      </w:pPr>
    </w:p>
    <w:p w:rsidR="00241981" w:rsidRDefault="00241981" w:rsidP="00241981">
      <w:pPr>
        <w:spacing w:after="0" w:line="360" w:lineRule="auto"/>
        <w:ind w:firstLine="709"/>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241981" w:rsidRDefault="00241981" w:rsidP="00241981">
      <w:pPr>
        <w:spacing w:after="0" w:line="360" w:lineRule="auto"/>
        <w:ind w:firstLine="709"/>
        <w:jc w:val="right"/>
        <w:rPr>
          <w:rFonts w:ascii="Times New Roman" w:hAnsi="Times New Roman" w:cs="Times New Roman"/>
          <w:sz w:val="24"/>
          <w:szCs w:val="24"/>
        </w:rPr>
      </w:pPr>
    </w:p>
    <w:p w:rsidR="00A22665" w:rsidRDefault="00A22665"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0A7EB9" w:rsidRDefault="000A7EB9" w:rsidP="00241981">
      <w:pPr>
        <w:spacing w:after="0" w:line="360" w:lineRule="auto"/>
        <w:ind w:firstLine="709"/>
        <w:jc w:val="right"/>
        <w:rPr>
          <w:rFonts w:ascii="Times New Roman" w:hAnsi="Times New Roman" w:cs="Times New Roman"/>
          <w:sz w:val="24"/>
          <w:szCs w:val="24"/>
        </w:rPr>
      </w:pPr>
    </w:p>
    <w:p w:rsidR="00A22665" w:rsidRPr="000A7EB9" w:rsidRDefault="00A22665" w:rsidP="00A22665">
      <w:pPr>
        <w:spacing w:after="0" w:line="360" w:lineRule="auto"/>
        <w:ind w:firstLine="709"/>
        <w:jc w:val="center"/>
        <w:rPr>
          <w:rFonts w:ascii="Times New Roman" w:hAnsi="Times New Roman" w:cs="Times New Roman"/>
          <w:b/>
          <w:color w:val="FF0000"/>
          <w:sz w:val="32"/>
          <w:szCs w:val="24"/>
          <w:u w:val="single"/>
        </w:rPr>
      </w:pPr>
      <w:r w:rsidRPr="000A7EB9">
        <w:rPr>
          <w:rFonts w:ascii="Times New Roman" w:hAnsi="Times New Roman" w:cs="Times New Roman"/>
          <w:b/>
          <w:color w:val="FF0000"/>
          <w:sz w:val="32"/>
          <w:szCs w:val="24"/>
          <w:u w:val="single"/>
        </w:rPr>
        <w:lastRenderedPageBreak/>
        <w:t xml:space="preserve">МЕДИЦИНА И ДОЛГОЛЕТИЕ </w:t>
      </w:r>
    </w:p>
    <w:p w:rsidR="00A22665" w:rsidRDefault="00A22665" w:rsidP="00A22665">
      <w:pPr>
        <w:spacing w:after="0" w:line="360" w:lineRule="auto"/>
        <w:ind w:firstLine="709"/>
        <w:jc w:val="center"/>
        <w:rPr>
          <w:rFonts w:ascii="Times New Roman" w:hAnsi="Times New Roman" w:cs="Times New Roman"/>
          <w:sz w:val="32"/>
          <w:szCs w:val="24"/>
        </w:rPr>
      </w:pPr>
    </w:p>
    <w:p w:rsidR="00A22665" w:rsidRPr="00411DEC" w:rsidRDefault="00A22665" w:rsidP="00A22665">
      <w:pPr>
        <w:spacing w:after="0" w:line="360" w:lineRule="auto"/>
        <w:ind w:firstLine="709"/>
        <w:jc w:val="center"/>
        <w:rPr>
          <w:rFonts w:ascii="Times New Roman" w:hAnsi="Times New Roman" w:cs="Times New Roman"/>
          <w:b/>
          <w:sz w:val="28"/>
          <w:szCs w:val="24"/>
        </w:rPr>
      </w:pPr>
      <w:r w:rsidRPr="00411DEC">
        <w:rPr>
          <w:rFonts w:ascii="Times New Roman" w:hAnsi="Times New Roman" w:cs="Times New Roman"/>
          <w:b/>
          <w:sz w:val="28"/>
          <w:szCs w:val="24"/>
        </w:rPr>
        <w:t xml:space="preserve">Новости медицины от эксперта </w:t>
      </w:r>
      <w:proofErr w:type="spellStart"/>
      <w:r w:rsidRPr="00411DEC">
        <w:rPr>
          <w:rFonts w:ascii="Times New Roman" w:hAnsi="Times New Roman" w:cs="Times New Roman"/>
          <w:b/>
          <w:sz w:val="28"/>
          <w:szCs w:val="24"/>
        </w:rPr>
        <w:t>Минобрнауки</w:t>
      </w:r>
      <w:proofErr w:type="spellEnd"/>
    </w:p>
    <w:p w:rsidR="00A22665" w:rsidRDefault="00A22665" w:rsidP="00A22665">
      <w:pPr>
        <w:spacing w:after="0" w:line="360" w:lineRule="auto"/>
        <w:ind w:firstLine="709"/>
        <w:jc w:val="center"/>
        <w:rPr>
          <w:rFonts w:ascii="Times New Roman" w:hAnsi="Times New Roman" w:cs="Times New Roman"/>
          <w:sz w:val="32"/>
          <w:szCs w:val="24"/>
        </w:rPr>
      </w:pPr>
    </w:p>
    <w:p w:rsidR="00A22665" w:rsidRDefault="00A22665" w:rsidP="00A22665">
      <w:pPr>
        <w:pStyle w:val="ab"/>
        <w:spacing w:after="0" w:line="100" w:lineRule="atLeast"/>
        <w:jc w:val="right"/>
        <w:rPr>
          <w:rFonts w:ascii="Times New Roman" w:eastAsia="Times New Roman" w:hAnsi="Times New Roman" w:cs="Times New Roman"/>
          <w:iCs/>
          <w:sz w:val="20"/>
          <w:szCs w:val="20"/>
          <w:lang w:eastAsia="ru-RU"/>
        </w:rPr>
      </w:pPr>
      <w:r>
        <w:rPr>
          <w:i/>
          <w:iCs/>
          <w:noProof/>
          <w:lang w:eastAsia="ru-RU"/>
        </w:rPr>
        <w:drawing>
          <wp:inline distT="0" distB="0" distL="0" distR="0" wp14:anchorId="46E9BEE3" wp14:editId="104CE6A1">
            <wp:extent cx="1291900" cy="1938528"/>
            <wp:effectExtent l="0" t="0" r="3500" b="4572"/>
            <wp:docPr id="27" name="Рисунок 27" descr="C:\Users\AKomarov\AppData\Local\Microsoft\Windows\Temporary Internet Files\Content.Outlook\1SFEHYFU\ФОТО СИМОНОВА.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rcRect/>
                    <a:stretch>
                      <a:fillRect/>
                    </a:stretch>
                  </pic:blipFill>
                  <pic:spPr>
                    <a:xfrm flipH="1">
                      <a:off x="0" y="0"/>
                      <a:ext cx="1291900" cy="1938528"/>
                    </a:xfrm>
                    <a:prstGeom prst="rect">
                      <a:avLst/>
                    </a:prstGeom>
                    <a:noFill/>
                    <a:ln>
                      <a:noFill/>
                      <a:prstDash/>
                    </a:ln>
                  </pic:spPr>
                </pic:pic>
              </a:graphicData>
            </a:graphic>
          </wp:inline>
        </w:drawing>
      </w:r>
    </w:p>
    <w:p w:rsidR="00A22665" w:rsidRDefault="00A22665" w:rsidP="00A22665">
      <w:pPr>
        <w:pStyle w:val="ab"/>
        <w:jc w:val="right"/>
        <w:rPr>
          <w:rFonts w:ascii="Times New Roman" w:hAnsi="Times New Roman" w:cs="Times New Roman"/>
          <w:b/>
          <w:i/>
          <w:szCs w:val="32"/>
          <w:lang w:val="en-GB"/>
        </w:rPr>
      </w:pPr>
    </w:p>
    <w:p w:rsidR="00A22665" w:rsidRPr="00E84D1D" w:rsidRDefault="00A22665" w:rsidP="00A22665">
      <w:pPr>
        <w:pStyle w:val="ab"/>
        <w:jc w:val="right"/>
        <w:rPr>
          <w:rFonts w:ascii="Times New Roman" w:hAnsi="Times New Roman" w:cs="Times New Roman"/>
          <w:b/>
          <w:i/>
          <w:szCs w:val="32"/>
        </w:rPr>
      </w:pPr>
      <w:r w:rsidRPr="00E84D1D">
        <w:rPr>
          <w:rFonts w:ascii="Times New Roman" w:hAnsi="Times New Roman" w:cs="Times New Roman"/>
          <w:b/>
          <w:i/>
          <w:szCs w:val="32"/>
        </w:rPr>
        <w:t>Альбина Валерьевна Симонова</w:t>
      </w:r>
    </w:p>
    <w:p w:rsidR="00A22665" w:rsidRPr="00E84D1D" w:rsidRDefault="00A22665" w:rsidP="00A22665">
      <w:pPr>
        <w:pStyle w:val="ab"/>
        <w:jc w:val="right"/>
        <w:rPr>
          <w:rFonts w:ascii="Times New Roman" w:hAnsi="Times New Roman" w:cs="Times New Roman"/>
          <w:b/>
          <w:i/>
          <w:color w:val="414141"/>
          <w:szCs w:val="15"/>
          <w:shd w:val="clear" w:color="auto" w:fill="FFF8E5"/>
        </w:rPr>
      </w:pPr>
      <w:r w:rsidRPr="00E84D1D">
        <w:rPr>
          <w:rFonts w:ascii="Times New Roman" w:hAnsi="Times New Roman" w:cs="Times New Roman"/>
          <w:b/>
          <w:i/>
          <w:color w:val="414141"/>
          <w:szCs w:val="15"/>
          <w:shd w:val="clear" w:color="auto" w:fill="FFF8E5"/>
        </w:rPr>
        <w:t xml:space="preserve">Директор по науке, председатель Ученого совета, </w:t>
      </w:r>
    </w:p>
    <w:p w:rsidR="00A22665" w:rsidRDefault="00A22665" w:rsidP="00A22665">
      <w:pPr>
        <w:pStyle w:val="ab"/>
        <w:jc w:val="right"/>
        <w:rPr>
          <w:rFonts w:ascii="Times New Roman" w:hAnsi="Times New Roman" w:cs="Times New Roman"/>
          <w:b/>
          <w:i/>
          <w:color w:val="414141"/>
          <w:szCs w:val="15"/>
          <w:shd w:val="clear" w:color="auto" w:fill="FFF8E5"/>
        </w:rPr>
      </w:pPr>
      <w:r w:rsidRPr="00E84D1D">
        <w:rPr>
          <w:rFonts w:ascii="Times New Roman" w:hAnsi="Times New Roman" w:cs="Times New Roman"/>
          <w:b/>
          <w:i/>
          <w:color w:val="414141"/>
          <w:szCs w:val="15"/>
          <w:shd w:val="clear" w:color="auto" w:fill="FFF8E5"/>
        </w:rPr>
        <w:t xml:space="preserve">профессор, д.м.н., академик АМТН, эксперт </w:t>
      </w:r>
      <w:proofErr w:type="spellStart"/>
      <w:r w:rsidRPr="00E84D1D">
        <w:rPr>
          <w:rFonts w:ascii="Times New Roman" w:hAnsi="Times New Roman" w:cs="Times New Roman"/>
          <w:b/>
          <w:i/>
          <w:color w:val="414141"/>
          <w:szCs w:val="15"/>
          <w:shd w:val="clear" w:color="auto" w:fill="FFF8E5"/>
        </w:rPr>
        <w:t>Минобрнауки</w:t>
      </w:r>
      <w:proofErr w:type="spellEnd"/>
      <w:r w:rsidRPr="00E84D1D">
        <w:rPr>
          <w:rFonts w:ascii="Times New Roman" w:hAnsi="Times New Roman" w:cs="Times New Roman"/>
          <w:b/>
          <w:i/>
          <w:color w:val="414141"/>
          <w:szCs w:val="15"/>
          <w:shd w:val="clear" w:color="auto" w:fill="FFF8E5"/>
        </w:rPr>
        <w:t xml:space="preserve"> РФ.</w:t>
      </w:r>
    </w:p>
    <w:p w:rsidR="001A7D82" w:rsidRPr="00E84D1D" w:rsidRDefault="001A7D82" w:rsidP="00A22665">
      <w:pPr>
        <w:pStyle w:val="ab"/>
        <w:jc w:val="right"/>
        <w:rPr>
          <w:rFonts w:ascii="Times New Roman" w:hAnsi="Times New Roman" w:cs="Times New Roman"/>
          <w:b/>
          <w:i/>
          <w:sz w:val="20"/>
          <w:szCs w:val="32"/>
        </w:rPr>
      </w:pPr>
    </w:p>
    <w:p w:rsidR="00A22665" w:rsidRPr="00411DEC" w:rsidRDefault="00A22665" w:rsidP="00411DEC">
      <w:pPr>
        <w:pStyle w:val="ab"/>
        <w:autoSpaceDE w:val="0"/>
        <w:spacing w:after="0" w:line="360" w:lineRule="auto"/>
        <w:ind w:firstLine="709"/>
        <w:jc w:val="center"/>
        <w:rPr>
          <w:b/>
          <w:color w:val="000000" w:themeColor="text1"/>
          <w:sz w:val="32"/>
          <w:szCs w:val="24"/>
        </w:rPr>
      </w:pPr>
      <w:r w:rsidRPr="00411DEC">
        <w:rPr>
          <w:rFonts w:ascii="TimesNewRomanPSMT-Identity-H" w:eastAsia="TimesNewRomanPSMT-Identity-H" w:hAnsi="TimesNewRomanPSMT-Identity-H" w:cs="TimesNewRomanPSMT-Identity-H"/>
          <w:b/>
          <w:bCs/>
          <w:color w:val="000000" w:themeColor="text1"/>
          <w:sz w:val="28"/>
          <w:szCs w:val="24"/>
        </w:rPr>
        <w:t>Мелатонин продлевает жизнь</w:t>
      </w:r>
    </w:p>
    <w:p w:rsidR="00A22665" w:rsidRPr="001A7D82" w:rsidRDefault="00A22665" w:rsidP="001A7D82">
      <w:pPr>
        <w:pStyle w:val="ab"/>
        <w:autoSpaceDE w:val="0"/>
        <w:spacing w:after="0" w:line="360" w:lineRule="auto"/>
        <w:ind w:firstLine="709"/>
        <w:jc w:val="both"/>
        <w:rPr>
          <w:sz w:val="24"/>
          <w:szCs w:val="24"/>
        </w:rPr>
      </w:pPr>
    </w:p>
    <w:p w:rsidR="00A22665" w:rsidRPr="00411DEC" w:rsidRDefault="00A22665" w:rsidP="001A7D82">
      <w:pPr>
        <w:pStyle w:val="ab"/>
        <w:autoSpaceDE w:val="0"/>
        <w:spacing w:after="0" w:line="360" w:lineRule="auto"/>
        <w:ind w:firstLine="709"/>
        <w:jc w:val="both"/>
        <w:rPr>
          <w:sz w:val="27"/>
          <w:szCs w:val="27"/>
        </w:rPr>
      </w:pPr>
      <w:r w:rsidRPr="00411DEC">
        <w:rPr>
          <w:rFonts w:ascii="TimesNewRomanPSMT-Identity-H" w:eastAsia="TimesNewRomanPSMT-Identity-H" w:hAnsi="TimesNewRomanPSMT-Identity-H" w:cs="TimesNewRomanPSMT-Identity-H"/>
          <w:bCs/>
          <w:color w:val="000000"/>
          <w:sz w:val="27"/>
          <w:szCs w:val="27"/>
        </w:rPr>
        <w:t xml:space="preserve">Гормон мелатонин, содержащийся в некоторых снотворных препаратах, способствует продлению жизни, сообщает ИТАР-ТАСС со ссылкой на доктора медицинских наук, заведующую кафедрой фармакологии Петрозаводского государственного университета Ирину Виноградову. К такому выводу ученые пришли после многолетних экспериментальных работ. «В ходе экспериментов установили, что животные, получавшие на ночь мелатонин, позже старели, имели более крепкий иммунитет, у них было меньше опухолей», — цитирует агентство слова И. </w:t>
      </w:r>
      <w:proofErr w:type="spellStart"/>
      <w:r w:rsidRPr="00411DEC">
        <w:rPr>
          <w:rFonts w:ascii="TimesNewRomanPSMT-Identity-H" w:eastAsia="TimesNewRomanPSMT-Identity-H" w:hAnsi="TimesNewRomanPSMT-Identity-H" w:cs="TimesNewRomanPSMT-Identity-H"/>
          <w:bCs/>
          <w:color w:val="000000"/>
          <w:sz w:val="27"/>
          <w:szCs w:val="27"/>
        </w:rPr>
        <w:t>Виноградовой</w:t>
      </w:r>
      <w:proofErr w:type="gramStart"/>
      <w:r w:rsidRPr="00411DEC">
        <w:rPr>
          <w:rFonts w:ascii="TimesNewRomanPSMT-Identity-H" w:eastAsia="TimesNewRomanPSMT-Identity-H" w:hAnsi="TimesNewRomanPSMT-Identity-H" w:cs="TimesNewRomanPSMT-Identity-H"/>
          <w:bCs/>
          <w:color w:val="000000"/>
          <w:sz w:val="27"/>
          <w:szCs w:val="27"/>
        </w:rPr>
        <w:t>.В</w:t>
      </w:r>
      <w:proofErr w:type="spellEnd"/>
      <w:proofErr w:type="gramEnd"/>
      <w:r w:rsidRPr="00411DEC">
        <w:rPr>
          <w:rFonts w:ascii="TimesNewRomanPSMT-Identity-H" w:eastAsia="TimesNewRomanPSMT-Identity-H" w:hAnsi="TimesNewRomanPSMT-Identity-H" w:cs="TimesNewRomanPSMT-Identity-H"/>
          <w:bCs/>
          <w:color w:val="000000"/>
          <w:sz w:val="27"/>
          <w:szCs w:val="27"/>
        </w:rPr>
        <w:t xml:space="preserve"> одном из российских медучреждений, где лечат онкологических больных, пациентам дают мелатонин в виде снотворного. «У них уже есть результаты, у пациентов меньше метастазов, замедляется рост раковой опухоли», — отметила И. Виноградова. Ученые утверждают, что производство мелатонина в организме человека значительно снижается после 40–45 лет. До этого возраста назначать этот гормон здоровым людям нет смысла, он должен </w:t>
      </w:r>
      <w:r w:rsidRPr="00411DEC">
        <w:rPr>
          <w:rFonts w:ascii="TimesNewRomanPSMT-Identity-H" w:eastAsia="TimesNewRomanPSMT-Identity-H" w:hAnsi="TimesNewRomanPSMT-Identity-H" w:cs="TimesNewRomanPSMT-Identity-H"/>
          <w:bCs/>
          <w:color w:val="000000"/>
          <w:sz w:val="27"/>
          <w:szCs w:val="27"/>
        </w:rPr>
        <w:lastRenderedPageBreak/>
        <w:t>вырабатываться самостоятельно. Как сообщает агентство, ученые изучают возможные противопоказания употребления мелатонина.</w:t>
      </w:r>
    </w:p>
    <w:p w:rsidR="00A22665" w:rsidRPr="001A7D82" w:rsidRDefault="00A22665" w:rsidP="001A7D82">
      <w:pPr>
        <w:pStyle w:val="ac"/>
        <w:spacing w:line="360" w:lineRule="auto"/>
        <w:ind w:firstLine="709"/>
        <w:jc w:val="both"/>
        <w:rPr>
          <w:sz w:val="24"/>
          <w:szCs w:val="24"/>
        </w:rPr>
      </w:pPr>
    </w:p>
    <w:p w:rsidR="00A22665" w:rsidRPr="001A7D82" w:rsidRDefault="00A22665" w:rsidP="001A7D82">
      <w:pPr>
        <w:pStyle w:val="ab"/>
        <w:autoSpaceDE w:val="0"/>
        <w:spacing w:after="0" w:line="360" w:lineRule="auto"/>
        <w:ind w:firstLine="709"/>
        <w:jc w:val="both"/>
        <w:rPr>
          <w:sz w:val="24"/>
          <w:szCs w:val="24"/>
        </w:rPr>
      </w:pPr>
      <w:r w:rsidRPr="001A7D82">
        <w:rPr>
          <w:rFonts w:ascii="TimesNewRomanPSMT-Identity-H" w:eastAsia="TimesNewRomanPSMT-Identity-H" w:hAnsi="TimesNewRomanPSMT-Identity-H" w:cs="TimesNewRomanPSMT-Identity-H"/>
          <w:bCs/>
          <w:color w:val="000000"/>
          <w:sz w:val="24"/>
          <w:szCs w:val="24"/>
        </w:rPr>
        <w:t xml:space="preserve"> </w:t>
      </w:r>
    </w:p>
    <w:p w:rsidR="00A22665" w:rsidRPr="00411DEC" w:rsidRDefault="00A22665" w:rsidP="00411DEC">
      <w:pPr>
        <w:pStyle w:val="ab"/>
        <w:autoSpaceDE w:val="0"/>
        <w:spacing w:after="0" w:line="360" w:lineRule="auto"/>
        <w:ind w:firstLine="709"/>
        <w:jc w:val="center"/>
        <w:rPr>
          <w:rFonts w:ascii="TimesNewRomanPSMT-Identity-H" w:eastAsia="TimesNewRomanPSMT-Identity-H" w:hAnsi="TimesNewRomanPSMT-Identity-H" w:cs="TimesNewRomanPSMT-Identity-H"/>
          <w:b/>
          <w:bCs/>
          <w:color w:val="000000" w:themeColor="text1"/>
          <w:sz w:val="28"/>
          <w:szCs w:val="24"/>
        </w:rPr>
      </w:pPr>
      <w:r w:rsidRPr="00411DEC">
        <w:rPr>
          <w:rFonts w:ascii="TimesNewRomanPSMT-Identity-H" w:eastAsia="TimesNewRomanPSMT-Identity-H" w:hAnsi="TimesNewRomanPSMT-Identity-H" w:cs="TimesNewRomanPSMT-Identity-H"/>
          <w:b/>
          <w:bCs/>
          <w:color w:val="000000" w:themeColor="text1"/>
          <w:sz w:val="28"/>
          <w:szCs w:val="24"/>
        </w:rPr>
        <w:t xml:space="preserve">Мобильный кардиограф фиксирует </w:t>
      </w:r>
      <w:proofErr w:type="spellStart"/>
      <w:r w:rsidRPr="00411DEC">
        <w:rPr>
          <w:rFonts w:ascii="TimesNewRomanPSMT-Identity-H" w:eastAsia="TimesNewRomanPSMT-Identity-H" w:hAnsi="TimesNewRomanPSMT-Identity-H" w:cs="TimesNewRomanPSMT-Identity-H"/>
          <w:b/>
          <w:bCs/>
          <w:color w:val="000000" w:themeColor="text1"/>
          <w:sz w:val="28"/>
          <w:szCs w:val="24"/>
        </w:rPr>
        <w:t>прединфарктное</w:t>
      </w:r>
      <w:proofErr w:type="spellEnd"/>
      <w:r w:rsidRPr="00411DEC">
        <w:rPr>
          <w:rFonts w:ascii="TimesNewRomanPSMT-Identity-H" w:eastAsia="TimesNewRomanPSMT-Identity-H" w:hAnsi="TimesNewRomanPSMT-Identity-H" w:cs="TimesNewRomanPSMT-Identity-H"/>
          <w:b/>
          <w:bCs/>
          <w:color w:val="000000" w:themeColor="text1"/>
          <w:sz w:val="28"/>
          <w:szCs w:val="24"/>
        </w:rPr>
        <w:t xml:space="preserve"> состояние</w:t>
      </w:r>
    </w:p>
    <w:p w:rsidR="00411DEC" w:rsidRPr="00411DEC" w:rsidRDefault="00411DEC" w:rsidP="001A7D82">
      <w:pPr>
        <w:pStyle w:val="ab"/>
        <w:autoSpaceDE w:val="0"/>
        <w:spacing w:after="0" w:line="360" w:lineRule="auto"/>
        <w:ind w:firstLine="709"/>
        <w:jc w:val="both"/>
        <w:rPr>
          <w:b/>
          <w:color w:val="000000" w:themeColor="text1"/>
          <w:sz w:val="28"/>
          <w:szCs w:val="24"/>
        </w:rPr>
      </w:pPr>
    </w:p>
    <w:p w:rsidR="00A22665" w:rsidRPr="00411DEC" w:rsidRDefault="00A22665" w:rsidP="001A7D82">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r w:rsidRPr="00411DEC">
        <w:rPr>
          <w:rFonts w:ascii="TimesNewRomanPSMT-Identity-H" w:eastAsia="TimesNewRomanPSMT-Identity-H" w:hAnsi="TimesNewRomanPSMT-Identity-H" w:cs="TimesNewRomanPSMT-Identity-H"/>
          <w:bCs/>
          <w:color w:val="000000"/>
          <w:sz w:val="27"/>
          <w:szCs w:val="27"/>
        </w:rPr>
        <w:t xml:space="preserve">Мобильный кардиограф, изобретенный нижегородскими учеными-медиками, первый в мире способен зафиксировать предынфарктное состояние. Устройство сигнализирует больному и его врачу о резком ухудшении состояния сердца человека. Мобильный кардиограф также может помочь пациентам предотвратить обострение таких заболеваний, как аритмия, ишемическая болезнь сердца и т. д. Данные о состоянии здоровья пациента поступают с прибора на мобильный телефон пациента через </w:t>
      </w:r>
      <w:proofErr w:type="spellStart"/>
      <w:r w:rsidRPr="00411DEC">
        <w:rPr>
          <w:rFonts w:ascii="TimesNewRomanPSMT-Identity-H" w:eastAsia="TimesNewRomanPSMT-Identity-H" w:hAnsi="TimesNewRomanPSMT-Identity-H" w:cs="TimesNewRomanPSMT-Identity-H"/>
          <w:bCs/>
          <w:color w:val="000000"/>
          <w:sz w:val="27"/>
          <w:szCs w:val="27"/>
        </w:rPr>
        <w:t>Bluetooth</w:t>
      </w:r>
      <w:proofErr w:type="spellEnd"/>
      <w:r w:rsidRPr="00411DEC">
        <w:rPr>
          <w:rFonts w:ascii="TimesNewRomanPSMT-Identity-H" w:eastAsia="TimesNewRomanPSMT-Identity-H" w:hAnsi="TimesNewRomanPSMT-Identity-H" w:cs="TimesNewRomanPSMT-Identity-H"/>
          <w:bCs/>
          <w:color w:val="000000"/>
          <w:sz w:val="27"/>
          <w:szCs w:val="27"/>
        </w:rPr>
        <w:t>, а оттуда через Интернет на компьютер врача. Этот прибор по размерам не больше телефона, работает на обычных пальчиковых батарейках, его можно носить в кармане. Два провода крепятся на тело человека, и устройство постоянно снимает показатели. В случае отклонения от нормы прибор сигнализирует пациенту и доктору. По мнению кандидата медицинских наук, врача-кардиохирурга Нижегородского кардиоцентра Ильи Чистякова, устройство могли бы использовать не только сами пациенты, но и бригады скорой помощи и участковые врачи для экстренного обследования больных с сердечными заболеваниями. Прототип прибора уже проходит проверку на пациентах и показывает хорошие результаты. Ученые надеются, что их разработка заинтересует Минздрав.</w:t>
      </w:r>
    </w:p>
    <w:p w:rsidR="00411DEC" w:rsidRPr="00411DEC" w:rsidRDefault="00411DEC" w:rsidP="00411DEC">
      <w:pPr>
        <w:pStyle w:val="ab"/>
        <w:autoSpaceDE w:val="0"/>
        <w:spacing w:after="0" w:line="360" w:lineRule="auto"/>
        <w:ind w:firstLine="709"/>
        <w:jc w:val="center"/>
        <w:rPr>
          <w:b/>
          <w:color w:val="000000" w:themeColor="text1"/>
          <w:sz w:val="32"/>
          <w:szCs w:val="24"/>
        </w:rPr>
      </w:pPr>
    </w:p>
    <w:p w:rsidR="00A22665" w:rsidRPr="00411DEC" w:rsidRDefault="00A22665" w:rsidP="00411DEC">
      <w:pPr>
        <w:pStyle w:val="ab"/>
        <w:autoSpaceDE w:val="0"/>
        <w:spacing w:after="0" w:line="360" w:lineRule="auto"/>
        <w:ind w:firstLine="709"/>
        <w:jc w:val="center"/>
        <w:rPr>
          <w:b/>
          <w:color w:val="000000" w:themeColor="text1"/>
          <w:sz w:val="32"/>
          <w:szCs w:val="24"/>
        </w:rPr>
      </w:pPr>
      <w:r w:rsidRPr="00411DEC">
        <w:rPr>
          <w:rFonts w:ascii="TimesNewRomanPSMT-Identity-H" w:eastAsia="TimesNewRomanPSMT-Identity-H" w:hAnsi="TimesNewRomanPSMT-Identity-H" w:cs="TimesNewRomanPSMT-Identity-H"/>
          <w:b/>
          <w:bCs/>
          <w:color w:val="000000" w:themeColor="text1"/>
          <w:sz w:val="28"/>
          <w:szCs w:val="24"/>
        </w:rPr>
        <w:t>Российские ученые разработали технологию продуктов для профилактики инфаркта</w:t>
      </w:r>
    </w:p>
    <w:p w:rsidR="00A22665" w:rsidRPr="001A7D82" w:rsidRDefault="00A22665" w:rsidP="001A7D82">
      <w:pPr>
        <w:pStyle w:val="ab"/>
        <w:autoSpaceDE w:val="0"/>
        <w:spacing w:after="0" w:line="360" w:lineRule="auto"/>
        <w:ind w:firstLine="709"/>
        <w:jc w:val="both"/>
        <w:rPr>
          <w:sz w:val="24"/>
          <w:szCs w:val="24"/>
        </w:rPr>
      </w:pPr>
    </w:p>
    <w:p w:rsidR="00A22665" w:rsidRPr="00411DEC" w:rsidRDefault="00A22665" w:rsidP="001A7D82">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lang w:val="en-GB"/>
        </w:rPr>
      </w:pPr>
      <w:r w:rsidRPr="00411DEC">
        <w:rPr>
          <w:rFonts w:ascii="TimesNewRomanPSMT-Identity-H" w:eastAsia="TimesNewRomanPSMT-Identity-H" w:hAnsi="TimesNewRomanPSMT-Identity-H" w:cs="TimesNewRomanPSMT-Identity-H"/>
          <w:bCs/>
          <w:color w:val="000000"/>
          <w:sz w:val="27"/>
          <w:szCs w:val="27"/>
        </w:rPr>
        <w:t xml:space="preserve">Ученые разработали инновационную микрокапсулу для функциональных продуктов питания, регулярное употребление которых поможет привести в порядок почти все системы организма человека. Об этом заявил заместитель директора ГНУ Научно-исследовательского института детского питания Российской академии сельскохозяйственных наук, академик РАЕН, профессор, физиолог Вячеслав </w:t>
      </w:r>
      <w:proofErr w:type="spellStart"/>
      <w:r w:rsidRPr="00411DEC">
        <w:rPr>
          <w:rFonts w:ascii="TimesNewRomanPSMT-Identity-H" w:eastAsia="TimesNewRomanPSMT-Identity-H" w:hAnsi="TimesNewRomanPSMT-Identity-H" w:cs="TimesNewRomanPSMT-Identity-H"/>
          <w:bCs/>
          <w:color w:val="000000"/>
          <w:sz w:val="27"/>
          <w:szCs w:val="27"/>
        </w:rPr>
        <w:lastRenderedPageBreak/>
        <w:t>Арташесович</w:t>
      </w:r>
      <w:proofErr w:type="spellEnd"/>
      <w:r w:rsidRPr="00411DEC">
        <w:rPr>
          <w:rFonts w:ascii="TimesNewRomanPSMT-Identity-H" w:eastAsia="TimesNewRomanPSMT-Identity-H" w:hAnsi="TimesNewRomanPSMT-Identity-H" w:cs="TimesNewRomanPSMT-Identity-H"/>
          <w:bCs/>
          <w:color w:val="000000"/>
          <w:sz w:val="27"/>
          <w:szCs w:val="27"/>
        </w:rPr>
        <w:t xml:space="preserve"> Исаев на научно-практическом конгрессе «Качество и безопасность продуктов питания», который прошел в рамках VIII Всероссийского форума «Здоровье нации — основа процветания России».</w:t>
      </w:r>
    </w:p>
    <w:p w:rsidR="00411DEC" w:rsidRDefault="00411DEC" w:rsidP="001A7D82">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4"/>
          <w:szCs w:val="24"/>
        </w:rPr>
      </w:pPr>
    </w:p>
    <w:p w:rsidR="00411DEC" w:rsidRPr="00411DEC" w:rsidRDefault="00411DEC" w:rsidP="00411DEC">
      <w:pPr>
        <w:pStyle w:val="ab"/>
        <w:autoSpaceDE w:val="0"/>
        <w:spacing w:after="0" w:line="360" w:lineRule="auto"/>
        <w:ind w:firstLine="709"/>
        <w:jc w:val="center"/>
        <w:rPr>
          <w:b/>
          <w:color w:val="000000" w:themeColor="text1"/>
          <w:sz w:val="32"/>
          <w:szCs w:val="24"/>
        </w:rPr>
      </w:pPr>
      <w:r w:rsidRPr="00411DEC">
        <w:rPr>
          <w:rFonts w:ascii="TimesNewRomanPSMT-Identity-H" w:eastAsia="TimesNewRomanPSMT-Identity-H" w:hAnsi="TimesNewRomanPSMT-Identity-H" w:cs="TimesNewRomanPSMT-Identity-H"/>
          <w:b/>
          <w:bCs/>
          <w:color w:val="000000" w:themeColor="text1"/>
          <w:sz w:val="28"/>
          <w:szCs w:val="24"/>
        </w:rPr>
        <w:t>Российские учёные изобрели препарат, который останавливает кр</w:t>
      </w:r>
      <w:r>
        <w:rPr>
          <w:rFonts w:ascii="TimesNewRomanPSMT-Identity-H" w:eastAsia="TimesNewRomanPSMT-Identity-H" w:hAnsi="TimesNewRomanPSMT-Identity-H" w:cs="TimesNewRomanPSMT-Identity-H"/>
          <w:b/>
          <w:bCs/>
          <w:color w:val="000000" w:themeColor="text1"/>
          <w:sz w:val="28"/>
          <w:szCs w:val="24"/>
        </w:rPr>
        <w:t>овотечение за считанные секунды</w:t>
      </w:r>
    </w:p>
    <w:p w:rsidR="00411DEC" w:rsidRPr="00411DEC" w:rsidRDefault="00411DEC" w:rsidP="00411DEC">
      <w:pPr>
        <w:pStyle w:val="ab"/>
        <w:autoSpaceDE w:val="0"/>
        <w:spacing w:after="0" w:line="360" w:lineRule="auto"/>
        <w:ind w:firstLine="709"/>
        <w:jc w:val="both"/>
        <w:rPr>
          <w:sz w:val="24"/>
          <w:szCs w:val="24"/>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lang w:val="en-GB"/>
        </w:rPr>
      </w:pPr>
      <w:r w:rsidRPr="00411DEC">
        <w:rPr>
          <w:rFonts w:ascii="TimesNewRomanPSMT-Identity-H" w:eastAsia="TimesNewRomanPSMT-Identity-H" w:hAnsi="TimesNewRomanPSMT-Identity-H" w:cs="TimesNewRomanPSMT-Identity-H"/>
          <w:bCs/>
          <w:color w:val="000000"/>
          <w:sz w:val="27"/>
          <w:szCs w:val="27"/>
        </w:rPr>
        <w:t>В Нижнем Новгороде российские учёные начали тестировать совершенно уникальный в своём роде медицинский препарат. Его уникальность заключается в том, что он может остановить любое кровотечение не больше чем за тридцать секунд. Формулу этого препарата учёные не раскрывают, но проговорились про «</w:t>
      </w:r>
      <w:proofErr w:type="spellStart"/>
      <w:r w:rsidRPr="00411DEC">
        <w:rPr>
          <w:rFonts w:ascii="TimesNewRomanPSMT-Identity-H" w:eastAsia="TimesNewRomanPSMT-Identity-H" w:hAnsi="TimesNewRomanPSMT-Identity-H" w:cs="TimesNewRomanPSMT-Identity-H"/>
          <w:bCs/>
          <w:color w:val="000000"/>
          <w:sz w:val="27"/>
          <w:szCs w:val="27"/>
        </w:rPr>
        <w:t>наночастицы</w:t>
      </w:r>
      <w:proofErr w:type="spellEnd"/>
      <w:r w:rsidRPr="00411DEC">
        <w:rPr>
          <w:rFonts w:ascii="TimesNewRomanPSMT-Identity-H" w:eastAsia="TimesNewRomanPSMT-Identity-H" w:hAnsi="TimesNewRomanPSMT-Identity-H" w:cs="TimesNewRomanPSMT-Identity-H"/>
          <w:bCs/>
          <w:color w:val="000000"/>
          <w:sz w:val="27"/>
          <w:szCs w:val="27"/>
        </w:rPr>
        <w:t xml:space="preserve"> серебра». Внешне этот препарат похож на вполне обычный гель. </w:t>
      </w:r>
      <w:proofErr w:type="gramStart"/>
      <w:r w:rsidRPr="00411DEC">
        <w:rPr>
          <w:rFonts w:ascii="TimesNewRomanPSMT-Identity-H" w:eastAsia="TimesNewRomanPSMT-Identity-H" w:hAnsi="TimesNewRomanPSMT-Identity-H" w:cs="TimesNewRomanPSMT-Identity-H"/>
          <w:bCs/>
          <w:color w:val="000000"/>
          <w:sz w:val="27"/>
          <w:szCs w:val="27"/>
        </w:rPr>
        <w:t>Способен</w:t>
      </w:r>
      <w:proofErr w:type="gramEnd"/>
      <w:r w:rsidRPr="00411DEC">
        <w:rPr>
          <w:rFonts w:ascii="TimesNewRomanPSMT-Identity-H" w:eastAsia="TimesNewRomanPSMT-Identity-H" w:hAnsi="TimesNewRomanPSMT-Identity-H" w:cs="TimesNewRomanPSMT-Identity-H"/>
          <w:bCs/>
          <w:color w:val="000000"/>
          <w:sz w:val="27"/>
          <w:szCs w:val="27"/>
        </w:rPr>
        <w:t xml:space="preserve"> в считанные секунды останавливать кровотечение. Этот гель просто впитывается и создаёт преграду крови. Первые опыты проводились на животных в лабораториях. Там и </w:t>
      </w:r>
      <w:proofErr w:type="gramStart"/>
      <w:r w:rsidRPr="00411DEC">
        <w:rPr>
          <w:rFonts w:ascii="TimesNewRomanPSMT-Identity-H" w:eastAsia="TimesNewRomanPSMT-Identity-H" w:hAnsi="TimesNewRomanPSMT-Identity-H" w:cs="TimesNewRomanPSMT-Identity-H"/>
          <w:bCs/>
          <w:color w:val="000000"/>
          <w:sz w:val="27"/>
          <w:szCs w:val="27"/>
        </w:rPr>
        <w:t>был</w:t>
      </w:r>
      <w:proofErr w:type="gramEnd"/>
      <w:r w:rsidRPr="00411DEC">
        <w:rPr>
          <w:rFonts w:ascii="TimesNewRomanPSMT-Identity-H" w:eastAsia="TimesNewRomanPSMT-Identity-H" w:hAnsi="TimesNewRomanPSMT-Identity-H" w:cs="TimesNewRomanPSMT-Identity-H"/>
          <w:bCs/>
          <w:color w:val="000000"/>
          <w:sz w:val="27"/>
          <w:szCs w:val="27"/>
        </w:rPr>
        <w:t xml:space="preserve"> достигнут первый положительный результат. Так что же представляет собой этот новый медпрепарат? Этот кровоостанавливающий гель является экологически чистым продуктом, а именно не содержит никаких вредных примесей и смесей. Останавливает все виды кровотечений, кроме </w:t>
      </w:r>
      <w:proofErr w:type="gramStart"/>
      <w:r w:rsidRPr="00411DEC">
        <w:rPr>
          <w:rFonts w:ascii="TimesNewRomanPSMT-Identity-H" w:eastAsia="TimesNewRomanPSMT-Identity-H" w:hAnsi="TimesNewRomanPSMT-Identity-H" w:cs="TimesNewRomanPSMT-Identity-H"/>
          <w:bCs/>
          <w:color w:val="000000"/>
          <w:sz w:val="27"/>
          <w:szCs w:val="27"/>
        </w:rPr>
        <w:t>артериального</w:t>
      </w:r>
      <w:proofErr w:type="gramEnd"/>
      <w:r w:rsidRPr="00411DEC">
        <w:rPr>
          <w:rFonts w:ascii="TimesNewRomanPSMT-Identity-H" w:eastAsia="TimesNewRomanPSMT-Identity-H" w:hAnsi="TimesNewRomanPSMT-Identity-H" w:cs="TimesNewRomanPSMT-Identity-H"/>
          <w:bCs/>
          <w:color w:val="000000"/>
          <w:sz w:val="27"/>
          <w:szCs w:val="27"/>
        </w:rPr>
        <w:t>. Выпускаться будет в различных видах. Это и губка, и спрей, и гель. Главным отличием этого кровоостанавливающего препарата от других является ускорение им процесса заживления раны (пореза).  На данный момент средство проходит доклинические испытания.</w:t>
      </w: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Default="00411DEC" w:rsidP="00411DEC">
      <w:pPr>
        <w:pStyle w:val="ab"/>
        <w:autoSpaceDE w:val="0"/>
        <w:spacing w:after="0" w:line="360" w:lineRule="auto"/>
        <w:ind w:firstLine="709"/>
        <w:jc w:val="both"/>
        <w:rPr>
          <w:rFonts w:ascii="TimesNewRomanPSMT-Identity-H" w:eastAsia="TimesNewRomanPSMT-Identity-H" w:hAnsi="TimesNewRomanPSMT-Identity-H" w:cs="TimesNewRomanPSMT-Identity-H"/>
          <w:bCs/>
          <w:color w:val="000000"/>
          <w:sz w:val="27"/>
          <w:szCs w:val="27"/>
        </w:rPr>
      </w:pPr>
    </w:p>
    <w:p w:rsidR="00411DEC" w:rsidRPr="00411DEC" w:rsidRDefault="00411DEC" w:rsidP="00411DEC">
      <w:pPr>
        <w:pStyle w:val="ab"/>
        <w:autoSpaceDE w:val="0"/>
        <w:spacing w:after="0" w:line="360" w:lineRule="auto"/>
        <w:ind w:firstLine="709"/>
        <w:jc w:val="center"/>
        <w:rPr>
          <w:b/>
          <w:color w:val="FF0000"/>
          <w:sz w:val="32"/>
          <w:szCs w:val="32"/>
          <w:u w:val="single"/>
        </w:rPr>
      </w:pPr>
      <w:bookmarkStart w:id="0" w:name="_GoBack"/>
      <w:bookmarkEnd w:id="0"/>
      <w:r w:rsidRPr="00411DEC">
        <w:rPr>
          <w:rFonts w:ascii="TimesNewRomanPSMT-Identity-H" w:eastAsia="TimesNewRomanPSMT-Identity-H" w:hAnsi="TimesNewRomanPSMT-Identity-H" w:cs="TimesNewRomanPSMT-Identity-H"/>
          <w:b/>
          <w:bCs/>
          <w:color w:val="FF0000"/>
          <w:sz w:val="32"/>
          <w:szCs w:val="32"/>
          <w:u w:val="single"/>
        </w:rPr>
        <w:lastRenderedPageBreak/>
        <w:t>Цитаты номера</w:t>
      </w:r>
    </w:p>
    <w:p w:rsidR="00411DEC" w:rsidRPr="001A7D82" w:rsidRDefault="00411DEC" w:rsidP="001A7D82">
      <w:pPr>
        <w:pStyle w:val="ab"/>
        <w:autoSpaceDE w:val="0"/>
        <w:spacing w:after="0" w:line="360" w:lineRule="auto"/>
        <w:ind w:firstLine="709"/>
        <w:jc w:val="both"/>
        <w:rPr>
          <w:sz w:val="24"/>
          <w:szCs w:val="24"/>
        </w:rPr>
      </w:pPr>
    </w:p>
    <w:p w:rsidR="00411DEC" w:rsidRPr="00411DEC" w:rsidRDefault="00411DEC" w:rsidP="00411DEC">
      <w:pPr>
        <w:ind w:firstLine="708"/>
        <w:rPr>
          <w:rFonts w:ascii="Times New Roman" w:hAnsi="Times New Roman" w:cs="Times New Roman"/>
          <w:sz w:val="27"/>
          <w:szCs w:val="27"/>
        </w:rPr>
      </w:pPr>
      <w:r w:rsidRPr="00411DEC">
        <w:rPr>
          <w:rFonts w:ascii="Times New Roman" w:hAnsi="Times New Roman" w:cs="Times New Roman"/>
          <w:i/>
          <w:sz w:val="27"/>
          <w:szCs w:val="27"/>
        </w:rPr>
        <w:t>«По результатам 2014 года все НПФ из Топ-10 (по объему пенсионных накоплений) показали положительную доходность инвестирования пенсионных накоплений»</w:t>
      </w:r>
      <w:r w:rsidRPr="00411DEC">
        <w:rPr>
          <w:rFonts w:ascii="Times New Roman" w:hAnsi="Times New Roman" w:cs="Times New Roman"/>
          <w:sz w:val="27"/>
          <w:szCs w:val="27"/>
        </w:rPr>
        <w:t xml:space="preserve">. </w:t>
      </w:r>
      <w:proofErr w:type="spellStart"/>
      <w:r w:rsidRPr="00411DEC">
        <w:rPr>
          <w:rFonts w:ascii="Times New Roman" w:hAnsi="Times New Roman" w:cs="Times New Roman"/>
          <w:b/>
          <w:sz w:val="27"/>
          <w:szCs w:val="27"/>
        </w:rPr>
        <w:t>Л.Костенко</w:t>
      </w:r>
      <w:proofErr w:type="spellEnd"/>
      <w:r w:rsidRPr="00411DEC">
        <w:rPr>
          <w:rFonts w:ascii="Times New Roman" w:hAnsi="Times New Roman" w:cs="Times New Roman"/>
          <w:b/>
          <w:sz w:val="27"/>
          <w:szCs w:val="27"/>
        </w:rPr>
        <w:t>.</w:t>
      </w:r>
    </w:p>
    <w:p w:rsidR="00411DEC" w:rsidRPr="00411DEC" w:rsidRDefault="00411DEC" w:rsidP="00411DEC">
      <w:pPr>
        <w:ind w:firstLine="708"/>
        <w:rPr>
          <w:rFonts w:ascii="Times New Roman" w:hAnsi="Times New Roman" w:cs="Times New Roman"/>
          <w:sz w:val="27"/>
          <w:szCs w:val="27"/>
        </w:rPr>
      </w:pPr>
      <w:r w:rsidRPr="00411DEC">
        <w:rPr>
          <w:rFonts w:ascii="Times New Roman" w:hAnsi="Times New Roman" w:cs="Times New Roman"/>
          <w:i/>
          <w:sz w:val="27"/>
          <w:szCs w:val="27"/>
        </w:rPr>
        <w:t>«В сложившейся ситуации регулятор оказался в достаточно затруднительном положении, пытаясь оценивать качество инвестиций фондов сугубо по рыночным меркам при фактическом отсутствии – в нужном объеме и качестве – этого самого рынка»</w:t>
      </w:r>
      <w:r w:rsidRPr="00411DEC">
        <w:rPr>
          <w:rFonts w:ascii="Times New Roman" w:hAnsi="Times New Roman" w:cs="Times New Roman"/>
          <w:sz w:val="27"/>
          <w:szCs w:val="27"/>
        </w:rPr>
        <w:t xml:space="preserve">. </w:t>
      </w:r>
      <w:proofErr w:type="spellStart"/>
      <w:r w:rsidRPr="00411DEC">
        <w:rPr>
          <w:rFonts w:ascii="Times New Roman" w:hAnsi="Times New Roman" w:cs="Times New Roman"/>
          <w:b/>
          <w:sz w:val="27"/>
          <w:szCs w:val="27"/>
        </w:rPr>
        <w:t>А.Сметанин</w:t>
      </w:r>
      <w:proofErr w:type="spellEnd"/>
      <w:r w:rsidRPr="00411DEC">
        <w:rPr>
          <w:rFonts w:ascii="Times New Roman" w:hAnsi="Times New Roman" w:cs="Times New Roman"/>
          <w:sz w:val="27"/>
          <w:szCs w:val="27"/>
        </w:rPr>
        <w:t>.</w:t>
      </w:r>
    </w:p>
    <w:p w:rsidR="00411DEC" w:rsidRPr="00411DEC" w:rsidRDefault="00411DEC" w:rsidP="00411DEC">
      <w:pPr>
        <w:ind w:firstLine="708"/>
        <w:rPr>
          <w:rFonts w:ascii="Times New Roman" w:hAnsi="Times New Roman" w:cs="Times New Roman"/>
          <w:sz w:val="27"/>
          <w:szCs w:val="27"/>
        </w:rPr>
      </w:pPr>
      <w:r w:rsidRPr="00411DEC">
        <w:rPr>
          <w:rFonts w:ascii="Times New Roman" w:hAnsi="Times New Roman" w:cs="Times New Roman"/>
          <w:i/>
          <w:sz w:val="27"/>
          <w:szCs w:val="27"/>
        </w:rPr>
        <w:t>«Граждане, которые решили откладывать на пенсию, должны обладать финансовой дисциплиной. Периодичность отчислений – залог успеха»</w:t>
      </w:r>
      <w:r w:rsidRPr="00411DEC">
        <w:rPr>
          <w:rFonts w:ascii="Times New Roman" w:hAnsi="Times New Roman" w:cs="Times New Roman"/>
          <w:sz w:val="27"/>
          <w:szCs w:val="27"/>
        </w:rPr>
        <w:t xml:space="preserve">. </w:t>
      </w:r>
      <w:proofErr w:type="spellStart"/>
      <w:r w:rsidRPr="00411DEC">
        <w:rPr>
          <w:rFonts w:ascii="Times New Roman" w:hAnsi="Times New Roman" w:cs="Times New Roman"/>
          <w:b/>
          <w:sz w:val="27"/>
          <w:szCs w:val="27"/>
        </w:rPr>
        <w:t>С.Лукин</w:t>
      </w:r>
      <w:proofErr w:type="spellEnd"/>
      <w:r w:rsidRPr="00411DEC">
        <w:rPr>
          <w:rFonts w:ascii="Times New Roman" w:hAnsi="Times New Roman" w:cs="Times New Roman"/>
          <w:b/>
          <w:sz w:val="27"/>
          <w:szCs w:val="27"/>
        </w:rPr>
        <w:t>.</w:t>
      </w:r>
    </w:p>
    <w:p w:rsidR="00411DEC" w:rsidRPr="00411DEC" w:rsidRDefault="00411DEC" w:rsidP="00411DEC">
      <w:pPr>
        <w:ind w:firstLine="708"/>
        <w:rPr>
          <w:rFonts w:ascii="Times New Roman" w:hAnsi="Times New Roman" w:cs="Times New Roman"/>
          <w:sz w:val="27"/>
          <w:szCs w:val="27"/>
        </w:rPr>
      </w:pPr>
      <w:r w:rsidRPr="00411DEC">
        <w:rPr>
          <w:rFonts w:ascii="Times New Roman" w:hAnsi="Times New Roman" w:cs="Times New Roman"/>
          <w:i/>
          <w:sz w:val="27"/>
          <w:szCs w:val="27"/>
        </w:rPr>
        <w:t>«В среднесрочной перспективе фонды прибегнут к страхованию рисков процентной ставки, инфляции и продолжительности жизни»</w:t>
      </w:r>
      <w:r w:rsidRPr="00411DEC">
        <w:rPr>
          <w:rFonts w:ascii="Times New Roman" w:hAnsi="Times New Roman" w:cs="Times New Roman"/>
          <w:sz w:val="27"/>
          <w:szCs w:val="27"/>
        </w:rPr>
        <w:t xml:space="preserve">. </w:t>
      </w:r>
      <w:proofErr w:type="spellStart"/>
      <w:r w:rsidRPr="00411DEC">
        <w:rPr>
          <w:rFonts w:ascii="Times New Roman" w:hAnsi="Times New Roman" w:cs="Times New Roman"/>
          <w:b/>
          <w:sz w:val="27"/>
          <w:szCs w:val="27"/>
        </w:rPr>
        <w:t>А.Хмелев</w:t>
      </w:r>
      <w:proofErr w:type="spellEnd"/>
      <w:r w:rsidRPr="00411DEC">
        <w:rPr>
          <w:rFonts w:ascii="Times New Roman" w:hAnsi="Times New Roman" w:cs="Times New Roman"/>
          <w:b/>
          <w:sz w:val="27"/>
          <w:szCs w:val="27"/>
        </w:rPr>
        <w:t>.</w:t>
      </w:r>
    </w:p>
    <w:p w:rsidR="00411DEC" w:rsidRPr="00411DEC" w:rsidRDefault="00411DEC" w:rsidP="00411DEC">
      <w:pPr>
        <w:spacing w:after="0" w:line="360" w:lineRule="auto"/>
        <w:ind w:firstLine="709"/>
        <w:jc w:val="both"/>
        <w:rPr>
          <w:rFonts w:ascii="Times New Roman" w:hAnsi="Times New Roman" w:cs="Times New Roman"/>
          <w:sz w:val="32"/>
          <w:szCs w:val="24"/>
        </w:rPr>
      </w:pPr>
    </w:p>
    <w:p w:rsidR="00234145" w:rsidRPr="00411DEC" w:rsidRDefault="00234145" w:rsidP="00411DEC">
      <w:pPr>
        <w:spacing w:after="0" w:line="360" w:lineRule="auto"/>
        <w:ind w:firstLine="709"/>
        <w:jc w:val="center"/>
        <w:rPr>
          <w:rFonts w:ascii="Times New Roman" w:hAnsi="Times New Roman" w:cs="Times New Roman"/>
          <w:b/>
          <w:color w:val="FF0000"/>
          <w:sz w:val="32"/>
          <w:u w:val="single"/>
        </w:rPr>
      </w:pPr>
      <w:r w:rsidRPr="00411DEC">
        <w:rPr>
          <w:rFonts w:ascii="Times New Roman" w:hAnsi="Times New Roman" w:cs="Times New Roman"/>
          <w:b/>
          <w:color w:val="FF0000"/>
          <w:sz w:val="32"/>
          <w:u w:val="single"/>
        </w:rPr>
        <w:t>ВНИМАНИЕ: КОНКУРС</w:t>
      </w:r>
    </w:p>
    <w:p w:rsidR="00411DEC" w:rsidRPr="00411DEC" w:rsidRDefault="00411DEC" w:rsidP="00411DEC">
      <w:pPr>
        <w:spacing w:after="0" w:line="360" w:lineRule="auto"/>
        <w:ind w:firstLine="709"/>
        <w:jc w:val="both"/>
        <w:rPr>
          <w:rFonts w:ascii="Times New Roman" w:hAnsi="Times New Roman" w:cs="Times New Roman"/>
          <w:b/>
          <w:sz w:val="24"/>
        </w:rPr>
      </w:pPr>
    </w:p>
    <w:p w:rsidR="00234145" w:rsidRPr="00411DEC" w:rsidRDefault="00234145" w:rsidP="00411DEC">
      <w:pPr>
        <w:spacing w:after="0" w:line="360" w:lineRule="auto"/>
        <w:ind w:firstLine="709"/>
        <w:jc w:val="both"/>
        <w:rPr>
          <w:rFonts w:ascii="Times New Roman" w:hAnsi="Times New Roman" w:cs="Times New Roman"/>
          <w:sz w:val="27"/>
          <w:szCs w:val="27"/>
        </w:rPr>
      </w:pPr>
      <w:r w:rsidRPr="00411DEC">
        <w:rPr>
          <w:rFonts w:ascii="Times New Roman" w:hAnsi="Times New Roman" w:cs="Times New Roman"/>
          <w:sz w:val="27"/>
          <w:szCs w:val="27"/>
        </w:rPr>
        <w:t>Уважаемые читатели!</w:t>
      </w:r>
    </w:p>
    <w:p w:rsidR="00411DEC" w:rsidRPr="00411DEC" w:rsidRDefault="00411DEC" w:rsidP="00411DEC">
      <w:pPr>
        <w:spacing w:after="0" w:line="360" w:lineRule="auto"/>
        <w:ind w:firstLine="709"/>
        <w:jc w:val="both"/>
        <w:rPr>
          <w:rFonts w:ascii="Times New Roman" w:hAnsi="Times New Roman" w:cs="Times New Roman"/>
          <w:sz w:val="27"/>
          <w:szCs w:val="27"/>
        </w:rPr>
      </w:pPr>
    </w:p>
    <w:p w:rsidR="00234145" w:rsidRPr="00411DEC" w:rsidRDefault="00234145" w:rsidP="00411DEC">
      <w:pPr>
        <w:spacing w:after="0" w:line="360" w:lineRule="auto"/>
        <w:ind w:firstLine="709"/>
        <w:jc w:val="both"/>
        <w:rPr>
          <w:rFonts w:ascii="Times New Roman" w:hAnsi="Times New Roman" w:cs="Times New Roman"/>
          <w:sz w:val="27"/>
          <w:szCs w:val="27"/>
        </w:rPr>
      </w:pPr>
      <w:r w:rsidRPr="00411DEC">
        <w:rPr>
          <w:rFonts w:ascii="Times New Roman" w:hAnsi="Times New Roman" w:cs="Times New Roman"/>
          <w:sz w:val="27"/>
          <w:szCs w:val="27"/>
        </w:rPr>
        <w:t xml:space="preserve">Определите три лучшие (на ваш взгляд) публикации в журнале за 2015 год (номера 21-24). О своем выборе с пометкой «на конкурс» сообщите до 1 декабря текущего года по адресу </w:t>
      </w:r>
      <w:proofErr w:type="spellStart"/>
      <w:r w:rsidR="00411DEC" w:rsidRPr="00411DEC">
        <w:rPr>
          <w:rFonts w:ascii="Times New Roman" w:hAnsi="Times New Roman" w:cs="Times New Roman"/>
          <w:b/>
          <w:sz w:val="27"/>
          <w:szCs w:val="27"/>
        </w:rPr>
        <w:t>info</w:t>
      </w:r>
      <w:proofErr w:type="spellEnd"/>
      <w:r w:rsidR="00411DEC" w:rsidRPr="00411DEC">
        <w:rPr>
          <w:rFonts w:ascii="Times New Roman" w:hAnsi="Times New Roman" w:cs="Times New Roman"/>
          <w:b/>
          <w:sz w:val="27"/>
          <w:szCs w:val="27"/>
        </w:rPr>
        <w:t>@</w:t>
      </w:r>
      <w:proofErr w:type="spellStart"/>
      <w:r w:rsidRPr="00411DEC">
        <w:rPr>
          <w:rFonts w:ascii="Times New Roman" w:hAnsi="Times New Roman" w:cs="Times New Roman"/>
          <w:b/>
          <w:sz w:val="27"/>
          <w:szCs w:val="27"/>
          <w:lang w:val="en-GB"/>
        </w:rPr>
        <w:t>pensionobserver</w:t>
      </w:r>
      <w:proofErr w:type="spellEnd"/>
      <w:r w:rsidR="00411DEC" w:rsidRPr="00411DEC">
        <w:rPr>
          <w:rFonts w:ascii="Times New Roman" w:hAnsi="Times New Roman" w:cs="Times New Roman"/>
          <w:b/>
          <w:sz w:val="27"/>
          <w:szCs w:val="27"/>
        </w:rPr>
        <w:t>.</w:t>
      </w:r>
      <w:proofErr w:type="spellStart"/>
      <w:r w:rsidR="00411DEC" w:rsidRPr="00411DEC">
        <w:rPr>
          <w:rFonts w:ascii="Times New Roman" w:hAnsi="Times New Roman" w:cs="Times New Roman"/>
          <w:b/>
          <w:sz w:val="27"/>
          <w:szCs w:val="27"/>
          <w:lang w:val="en-GB"/>
        </w:rPr>
        <w:t>ru</w:t>
      </w:r>
      <w:proofErr w:type="spellEnd"/>
      <w:r w:rsidRPr="00411DEC">
        <w:rPr>
          <w:rFonts w:ascii="Times New Roman" w:hAnsi="Times New Roman" w:cs="Times New Roman"/>
          <w:sz w:val="27"/>
          <w:szCs w:val="27"/>
        </w:rPr>
        <w:t xml:space="preserve"> </w:t>
      </w:r>
      <w:r w:rsidR="00411DEC" w:rsidRPr="00411DEC">
        <w:rPr>
          <w:rFonts w:ascii="Times New Roman" w:hAnsi="Times New Roman" w:cs="Times New Roman"/>
          <w:sz w:val="27"/>
          <w:szCs w:val="27"/>
        </w:rPr>
        <w:t xml:space="preserve">и </w:t>
      </w:r>
      <w:r w:rsidR="00411DEC" w:rsidRPr="00411DEC">
        <w:rPr>
          <w:rFonts w:ascii="Times New Roman" w:hAnsi="Times New Roman" w:cs="Times New Roman"/>
          <w:b/>
          <w:sz w:val="27"/>
          <w:szCs w:val="27"/>
          <w:lang w:val="en-GB"/>
        </w:rPr>
        <w:t>info</w:t>
      </w:r>
      <w:r w:rsidR="00411DEC" w:rsidRPr="00411DEC">
        <w:rPr>
          <w:rFonts w:ascii="Times New Roman" w:hAnsi="Times New Roman" w:cs="Times New Roman"/>
          <w:b/>
          <w:sz w:val="27"/>
          <w:szCs w:val="27"/>
        </w:rPr>
        <w:t>@</w:t>
      </w:r>
      <w:proofErr w:type="spellStart"/>
      <w:r w:rsidRPr="00411DEC">
        <w:rPr>
          <w:rFonts w:ascii="Times New Roman" w:hAnsi="Times New Roman" w:cs="Times New Roman"/>
          <w:b/>
          <w:sz w:val="27"/>
          <w:szCs w:val="27"/>
          <w:lang w:val="en-GB"/>
        </w:rPr>
        <w:t>napf</w:t>
      </w:r>
      <w:proofErr w:type="spellEnd"/>
      <w:r w:rsidRPr="00411DEC">
        <w:rPr>
          <w:rFonts w:ascii="Times New Roman" w:hAnsi="Times New Roman" w:cs="Times New Roman"/>
          <w:b/>
          <w:sz w:val="27"/>
          <w:szCs w:val="27"/>
        </w:rPr>
        <w:t>.</w:t>
      </w:r>
      <w:proofErr w:type="spellStart"/>
      <w:r w:rsidR="00411DEC" w:rsidRPr="00411DEC">
        <w:rPr>
          <w:rFonts w:ascii="Times New Roman" w:hAnsi="Times New Roman" w:cs="Times New Roman"/>
          <w:b/>
          <w:sz w:val="27"/>
          <w:szCs w:val="27"/>
          <w:lang w:val="en-GB"/>
        </w:rPr>
        <w:t>ru</w:t>
      </w:r>
      <w:proofErr w:type="spellEnd"/>
      <w:r w:rsidR="00411DEC" w:rsidRPr="00411DEC">
        <w:rPr>
          <w:rFonts w:ascii="Times New Roman" w:hAnsi="Times New Roman" w:cs="Times New Roman"/>
          <w:sz w:val="27"/>
          <w:szCs w:val="27"/>
        </w:rPr>
        <w:t>.</w:t>
      </w:r>
    </w:p>
    <w:p w:rsidR="00411DEC" w:rsidRDefault="00411DEC" w:rsidP="00234145"/>
    <w:p w:rsidR="00411DEC" w:rsidRDefault="00411DEC" w:rsidP="00234145"/>
    <w:p w:rsidR="00411DEC" w:rsidRPr="006A2D28" w:rsidRDefault="00411DEC" w:rsidP="00234145"/>
    <w:p w:rsidR="00234145" w:rsidRPr="00411DEC" w:rsidRDefault="00234145" w:rsidP="00A22665">
      <w:pPr>
        <w:spacing w:after="0" w:line="360" w:lineRule="auto"/>
        <w:ind w:firstLine="709"/>
        <w:jc w:val="center"/>
        <w:rPr>
          <w:rFonts w:ascii="Times New Roman" w:hAnsi="Times New Roman" w:cs="Times New Roman"/>
          <w:b/>
          <w:color w:val="FF0000"/>
          <w:sz w:val="32"/>
          <w:szCs w:val="24"/>
          <w:u w:val="single"/>
        </w:rPr>
      </w:pPr>
      <w:r w:rsidRPr="00411DEC">
        <w:rPr>
          <w:rFonts w:ascii="Times New Roman" w:hAnsi="Times New Roman" w:cs="Times New Roman"/>
          <w:b/>
          <w:color w:val="FF0000"/>
          <w:sz w:val="32"/>
          <w:szCs w:val="24"/>
          <w:u w:val="single"/>
        </w:rPr>
        <w:t xml:space="preserve">АНОНС следующего, 5(25), номера – «НПФ начинается с </w:t>
      </w:r>
      <w:proofErr w:type="spellStart"/>
      <w:proofErr w:type="gramStart"/>
      <w:r w:rsidRPr="00411DEC">
        <w:rPr>
          <w:rFonts w:ascii="Times New Roman" w:hAnsi="Times New Roman" w:cs="Times New Roman"/>
          <w:b/>
          <w:color w:val="FF0000"/>
          <w:sz w:val="32"/>
          <w:szCs w:val="24"/>
          <w:u w:val="single"/>
        </w:rPr>
        <w:t>колл</w:t>
      </w:r>
      <w:proofErr w:type="spellEnd"/>
      <w:r w:rsidRPr="00411DEC">
        <w:rPr>
          <w:rFonts w:ascii="Times New Roman" w:hAnsi="Times New Roman" w:cs="Times New Roman"/>
          <w:b/>
          <w:color w:val="FF0000"/>
          <w:sz w:val="32"/>
          <w:szCs w:val="24"/>
          <w:u w:val="single"/>
        </w:rPr>
        <w:t>-центра</w:t>
      </w:r>
      <w:proofErr w:type="gramEnd"/>
      <w:r w:rsidRPr="00411DEC">
        <w:rPr>
          <w:rFonts w:ascii="Times New Roman" w:hAnsi="Times New Roman" w:cs="Times New Roman"/>
          <w:b/>
          <w:color w:val="FF0000"/>
          <w:sz w:val="32"/>
          <w:szCs w:val="24"/>
          <w:u w:val="single"/>
        </w:rPr>
        <w:t>»</w:t>
      </w:r>
    </w:p>
    <w:p w:rsidR="00234145" w:rsidRPr="00411DEC" w:rsidRDefault="00234145" w:rsidP="00A22665">
      <w:pPr>
        <w:spacing w:after="0" w:line="360" w:lineRule="auto"/>
        <w:ind w:firstLine="709"/>
        <w:jc w:val="center"/>
        <w:rPr>
          <w:rFonts w:ascii="Times New Roman" w:hAnsi="Times New Roman" w:cs="Times New Roman"/>
          <w:sz w:val="27"/>
          <w:szCs w:val="27"/>
        </w:rPr>
      </w:pPr>
    </w:p>
    <w:p w:rsidR="00234145" w:rsidRPr="00A22665" w:rsidRDefault="00234145" w:rsidP="00411DEC">
      <w:pPr>
        <w:spacing w:after="0" w:line="360" w:lineRule="auto"/>
        <w:ind w:firstLine="709"/>
        <w:jc w:val="both"/>
        <w:rPr>
          <w:rFonts w:ascii="Times New Roman" w:hAnsi="Times New Roman" w:cs="Times New Roman"/>
          <w:sz w:val="32"/>
          <w:szCs w:val="24"/>
        </w:rPr>
      </w:pPr>
      <w:r w:rsidRPr="00411DEC">
        <w:rPr>
          <w:rFonts w:ascii="Times New Roman" w:hAnsi="Times New Roman" w:cs="Times New Roman"/>
          <w:sz w:val="27"/>
          <w:szCs w:val="27"/>
        </w:rPr>
        <w:t xml:space="preserve">В начале июля сего года Госдума РФ приняла закон «О саморегулируемых организациях в сфере финансовых рынков». Закон регламентирует вопросы приобретения статуса СРО, принятия базовых и внутренних стандартов, раскрытия и </w:t>
      </w:r>
      <w:r w:rsidRPr="00411DEC">
        <w:rPr>
          <w:rFonts w:ascii="Times New Roman" w:hAnsi="Times New Roman" w:cs="Times New Roman"/>
          <w:sz w:val="27"/>
          <w:szCs w:val="27"/>
        </w:rPr>
        <w:lastRenderedPageBreak/>
        <w:t xml:space="preserve">защиты информации, работы органов управления, </w:t>
      </w:r>
      <w:proofErr w:type="gramStart"/>
      <w:r w:rsidRPr="00411DEC">
        <w:rPr>
          <w:rFonts w:ascii="Times New Roman" w:hAnsi="Times New Roman" w:cs="Times New Roman"/>
          <w:sz w:val="27"/>
          <w:szCs w:val="27"/>
        </w:rPr>
        <w:t>контроля за</w:t>
      </w:r>
      <w:proofErr w:type="gramEnd"/>
      <w:r w:rsidRPr="00411DEC">
        <w:rPr>
          <w:rFonts w:ascii="Times New Roman" w:hAnsi="Times New Roman" w:cs="Times New Roman"/>
          <w:sz w:val="27"/>
          <w:szCs w:val="27"/>
        </w:rPr>
        <w:t xml:space="preserve"> деятельностью своих членов, применения мер воздействия, другие нормы.</w:t>
      </w:r>
    </w:p>
    <w:sectPr w:rsidR="00234145" w:rsidRPr="00A22665" w:rsidSect="00411DEC">
      <w:headerReference w:type="default" r:id="rId40"/>
      <w:pgSz w:w="11906" w:h="16838"/>
      <w:pgMar w:top="851" w:right="56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6C9" w:rsidRDefault="000B46C9" w:rsidP="00A22665">
      <w:pPr>
        <w:spacing w:after="0" w:line="240" w:lineRule="auto"/>
      </w:pPr>
      <w:r>
        <w:separator/>
      </w:r>
    </w:p>
  </w:endnote>
  <w:endnote w:type="continuationSeparator" w:id="0">
    <w:p w:rsidR="000B46C9" w:rsidRDefault="000B46C9" w:rsidP="00A2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TimesNewRomanPSMT-Identity-H">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6C9" w:rsidRDefault="000B46C9" w:rsidP="00A22665">
      <w:pPr>
        <w:spacing w:after="0" w:line="240" w:lineRule="auto"/>
      </w:pPr>
      <w:r>
        <w:separator/>
      </w:r>
    </w:p>
  </w:footnote>
  <w:footnote w:type="continuationSeparator" w:id="0">
    <w:p w:rsidR="000B46C9" w:rsidRDefault="000B46C9" w:rsidP="00A22665">
      <w:pPr>
        <w:spacing w:after="0" w:line="240" w:lineRule="auto"/>
      </w:pPr>
      <w:r>
        <w:continuationSeparator/>
      </w:r>
    </w:p>
  </w:footnote>
  <w:footnote w:id="1">
    <w:p w:rsidR="00A22665" w:rsidRPr="0047061F" w:rsidRDefault="00A22665" w:rsidP="00A22665">
      <w:pPr>
        <w:pStyle w:val="a5"/>
        <w:spacing w:after="0"/>
        <w:rPr>
          <w:rFonts w:ascii="Times New Roman" w:hAnsi="Times New Roman"/>
          <w:sz w:val="16"/>
          <w:szCs w:val="16"/>
        </w:rPr>
      </w:pPr>
      <w:r w:rsidRPr="0047061F">
        <w:rPr>
          <w:rStyle w:val="a7"/>
          <w:rFonts w:ascii="Times New Roman" w:hAnsi="Times New Roman"/>
          <w:sz w:val="16"/>
          <w:szCs w:val="16"/>
        </w:rPr>
        <w:footnoteRef/>
      </w:r>
      <w:r w:rsidRPr="0047061F">
        <w:rPr>
          <w:rFonts w:ascii="Times New Roman" w:hAnsi="Times New Roman"/>
          <w:sz w:val="16"/>
          <w:szCs w:val="16"/>
        </w:rPr>
        <w:t xml:space="preserve"> График построен по данным из доклада ОЭСР и статистической базы ЦБ Нидерландов [6;7].</w:t>
      </w:r>
    </w:p>
  </w:footnote>
  <w:footnote w:id="2">
    <w:p w:rsidR="00A22665" w:rsidRPr="006B6CEB" w:rsidRDefault="00A22665" w:rsidP="00A22665">
      <w:pPr>
        <w:pStyle w:val="a5"/>
        <w:spacing w:after="0"/>
        <w:jc w:val="both"/>
        <w:rPr>
          <w:rFonts w:ascii="Times New Roman" w:hAnsi="Times New Roman"/>
          <w:sz w:val="16"/>
          <w:szCs w:val="16"/>
        </w:rPr>
      </w:pPr>
      <w:r w:rsidRPr="0047061F">
        <w:rPr>
          <w:rStyle w:val="a7"/>
          <w:rFonts w:ascii="Times New Roman" w:hAnsi="Times New Roman"/>
          <w:sz w:val="16"/>
          <w:szCs w:val="16"/>
        </w:rPr>
        <w:footnoteRef/>
      </w:r>
      <w:r w:rsidRPr="0047061F">
        <w:rPr>
          <w:rFonts w:ascii="Times New Roman" w:hAnsi="Times New Roman"/>
          <w:sz w:val="16"/>
          <w:szCs w:val="16"/>
        </w:rPr>
        <w:t xml:space="preserve"> График построен по данным из докладов Департамента труда США [3;4].  Тренд построен для пенсионных схем </w:t>
      </w:r>
      <w:r w:rsidRPr="0047061F">
        <w:rPr>
          <w:rFonts w:ascii="Times New Roman" w:hAnsi="Times New Roman"/>
          <w:sz w:val="16"/>
          <w:szCs w:val="16"/>
          <w:lang w:val="en-US"/>
        </w:rPr>
        <w:t>defined</w:t>
      </w:r>
      <w:r w:rsidRPr="0047061F">
        <w:rPr>
          <w:rFonts w:ascii="Times New Roman" w:hAnsi="Times New Roman"/>
          <w:sz w:val="16"/>
          <w:szCs w:val="16"/>
        </w:rPr>
        <w:t xml:space="preserve"> </w:t>
      </w:r>
      <w:r w:rsidRPr="0047061F">
        <w:rPr>
          <w:rFonts w:ascii="Times New Roman" w:hAnsi="Times New Roman"/>
          <w:sz w:val="16"/>
          <w:szCs w:val="16"/>
          <w:lang w:val="en-US"/>
        </w:rPr>
        <w:t>benefit</w:t>
      </w:r>
      <w:r w:rsidRPr="0047061F">
        <w:rPr>
          <w:rFonts w:ascii="Times New Roman" w:hAnsi="Times New Roman"/>
          <w:sz w:val="16"/>
          <w:szCs w:val="16"/>
        </w:rPr>
        <w:t xml:space="preserve"> (</w:t>
      </w:r>
      <w:r w:rsidRPr="0047061F">
        <w:rPr>
          <w:rFonts w:ascii="Times New Roman" w:hAnsi="Times New Roman"/>
          <w:sz w:val="16"/>
          <w:szCs w:val="16"/>
          <w:lang w:val="en-US"/>
        </w:rPr>
        <w:t>DB</w:t>
      </w:r>
      <w:r w:rsidRPr="0047061F">
        <w:rPr>
          <w:rFonts w:ascii="Times New Roman" w:hAnsi="Times New Roman"/>
          <w:sz w:val="16"/>
          <w:szCs w:val="16"/>
        </w:rPr>
        <w:t>) – данные схемы предполагают заранее определенную сумму выплат (как правило, в зависимости от заработка и стажа работника) и, в случае недостатка финансирования, обязывают учредителя схемы финансировать ее дефицит. Тренд построен с учетом оценки реальной доходности ПФ США в 2013-2014 гг. (оранжевый пунктир на графике) и без учета оценки является более крутым.</w:t>
      </w:r>
    </w:p>
  </w:footnote>
  <w:footnote w:id="3">
    <w:p w:rsidR="00A22665" w:rsidRPr="000A34FF" w:rsidRDefault="00A22665" w:rsidP="00A22665">
      <w:pPr>
        <w:pStyle w:val="a5"/>
        <w:spacing w:after="0"/>
        <w:rPr>
          <w:rFonts w:ascii="Times New Roman" w:hAnsi="Times New Roman"/>
          <w:sz w:val="16"/>
          <w:szCs w:val="16"/>
        </w:rPr>
      </w:pPr>
      <w:r w:rsidRPr="000A34FF">
        <w:rPr>
          <w:rStyle w:val="a7"/>
          <w:rFonts w:ascii="Times New Roman" w:hAnsi="Times New Roman"/>
          <w:sz w:val="16"/>
          <w:szCs w:val="16"/>
        </w:rPr>
        <w:footnoteRef/>
      </w:r>
      <w:r w:rsidRPr="000A34FF">
        <w:rPr>
          <w:rFonts w:ascii="Times New Roman" w:hAnsi="Times New Roman"/>
          <w:sz w:val="16"/>
          <w:szCs w:val="16"/>
        </w:rPr>
        <w:t xml:space="preserve"> График построен по данным из доклада ОЭСР [5].</w:t>
      </w:r>
    </w:p>
  </w:footnote>
  <w:footnote w:id="4">
    <w:p w:rsidR="00A22665" w:rsidRPr="000A34FF" w:rsidRDefault="00A22665" w:rsidP="00A22665">
      <w:pPr>
        <w:pStyle w:val="a5"/>
        <w:spacing w:after="0"/>
        <w:jc w:val="both"/>
        <w:rPr>
          <w:rFonts w:ascii="Times New Roman" w:hAnsi="Times New Roman"/>
          <w:sz w:val="16"/>
          <w:szCs w:val="16"/>
        </w:rPr>
      </w:pPr>
      <w:r w:rsidRPr="000A34FF">
        <w:rPr>
          <w:rStyle w:val="a7"/>
          <w:rFonts w:ascii="Times New Roman" w:hAnsi="Times New Roman"/>
          <w:sz w:val="16"/>
          <w:szCs w:val="16"/>
        </w:rPr>
        <w:footnoteRef/>
      </w:r>
      <w:r w:rsidRPr="000A34FF">
        <w:rPr>
          <w:rFonts w:ascii="Times New Roman" w:hAnsi="Times New Roman"/>
          <w:sz w:val="16"/>
          <w:szCs w:val="16"/>
        </w:rPr>
        <w:t xml:space="preserve"> Отношение пенсионных активов (ПА) к пенсионным обязательствам (</w:t>
      </w:r>
      <w:proofErr w:type="gramStart"/>
      <w:r w:rsidRPr="000A34FF">
        <w:rPr>
          <w:rFonts w:ascii="Times New Roman" w:hAnsi="Times New Roman"/>
          <w:sz w:val="16"/>
          <w:szCs w:val="16"/>
        </w:rPr>
        <w:t>ПО</w:t>
      </w:r>
      <w:proofErr w:type="gramEnd"/>
      <w:r w:rsidRPr="000A34FF">
        <w:rPr>
          <w:rFonts w:ascii="Times New Roman" w:hAnsi="Times New Roman"/>
          <w:sz w:val="16"/>
          <w:szCs w:val="16"/>
        </w:rPr>
        <w:t>).</w:t>
      </w:r>
    </w:p>
  </w:footnote>
  <w:footnote w:id="5">
    <w:p w:rsidR="00A22665" w:rsidRDefault="00A22665" w:rsidP="00A22665">
      <w:pPr>
        <w:pStyle w:val="a5"/>
        <w:spacing w:after="0"/>
      </w:pPr>
      <w:r w:rsidRPr="000A34FF">
        <w:rPr>
          <w:rStyle w:val="a7"/>
          <w:rFonts w:ascii="Times New Roman" w:hAnsi="Times New Roman"/>
          <w:sz w:val="16"/>
          <w:szCs w:val="16"/>
        </w:rPr>
        <w:footnoteRef/>
      </w:r>
      <w:r w:rsidRPr="000A34FF">
        <w:rPr>
          <w:rFonts w:ascii="Times New Roman" w:hAnsi="Times New Roman"/>
          <w:sz w:val="16"/>
          <w:szCs w:val="16"/>
        </w:rPr>
        <w:t xml:space="preserve"> График построен по данным из доклада консалтинговой компании </w:t>
      </w:r>
      <w:proofErr w:type="spellStart"/>
      <w:r w:rsidRPr="000A34FF">
        <w:rPr>
          <w:rFonts w:ascii="Times New Roman" w:hAnsi="Times New Roman"/>
          <w:sz w:val="16"/>
          <w:szCs w:val="16"/>
          <w:lang w:val="en-US"/>
        </w:rPr>
        <w:t>Milliman</w:t>
      </w:r>
      <w:proofErr w:type="spellEnd"/>
      <w:r w:rsidRPr="000A34FF">
        <w:rPr>
          <w:rFonts w:ascii="Times New Roman" w:hAnsi="Times New Roman"/>
          <w:sz w:val="16"/>
          <w:szCs w:val="16"/>
        </w:rPr>
        <w:t xml:space="preserve"> [2].</w:t>
      </w:r>
    </w:p>
  </w:footnote>
  <w:footnote w:id="6">
    <w:p w:rsidR="00A22665" w:rsidRDefault="00A22665" w:rsidP="00A22665">
      <w:pPr>
        <w:pStyle w:val="a5"/>
        <w:spacing w:after="0"/>
        <w:jc w:val="both"/>
      </w:pPr>
      <w:r w:rsidRPr="00D3154F">
        <w:rPr>
          <w:rStyle w:val="a7"/>
          <w:rFonts w:ascii="Times New Roman" w:hAnsi="Times New Roman"/>
          <w:sz w:val="16"/>
          <w:szCs w:val="16"/>
        </w:rPr>
        <w:footnoteRef/>
      </w:r>
      <w:r w:rsidRPr="00D3154F">
        <w:rPr>
          <w:rFonts w:ascii="Times New Roman" w:hAnsi="Times New Roman"/>
          <w:sz w:val="16"/>
          <w:szCs w:val="16"/>
        </w:rPr>
        <w:t xml:space="preserve"> В ЕС ставка дисконта формируется также в зависимости от ожидаемого уровня инфляции в 2%.</w:t>
      </w:r>
    </w:p>
  </w:footnote>
  <w:footnote w:id="7">
    <w:p w:rsidR="00A22665" w:rsidRDefault="00A22665" w:rsidP="00A22665">
      <w:pPr>
        <w:pStyle w:val="a5"/>
      </w:pPr>
      <w:r>
        <w:rPr>
          <w:rStyle w:val="a7"/>
        </w:rPr>
        <w:footnoteRef/>
      </w:r>
      <w:r>
        <w:t xml:space="preserve"> </w:t>
      </w:r>
      <w:r w:rsidRPr="007A1301">
        <w:rPr>
          <w:rFonts w:ascii="Times New Roman" w:hAnsi="Times New Roman"/>
          <w:sz w:val="16"/>
          <w:szCs w:val="16"/>
        </w:rPr>
        <w:t xml:space="preserve">График построен по данным из доклада консалтинговой компании </w:t>
      </w:r>
      <w:proofErr w:type="spellStart"/>
      <w:r w:rsidRPr="007A1301">
        <w:rPr>
          <w:rFonts w:ascii="Times New Roman" w:hAnsi="Times New Roman"/>
          <w:sz w:val="16"/>
          <w:szCs w:val="16"/>
          <w:lang w:val="en-US"/>
        </w:rPr>
        <w:t>Milliman</w:t>
      </w:r>
      <w:proofErr w:type="spellEnd"/>
      <w:r>
        <w:rPr>
          <w:rFonts w:ascii="Times New Roman" w:hAnsi="Times New Roman"/>
          <w:sz w:val="16"/>
          <w:szCs w:val="16"/>
        </w:rPr>
        <w:t xml:space="preserve"> </w:t>
      </w:r>
      <w:r w:rsidRPr="005B35D3">
        <w:rPr>
          <w:rFonts w:ascii="Times New Roman" w:hAnsi="Times New Roman"/>
          <w:sz w:val="16"/>
          <w:szCs w:val="16"/>
        </w:rPr>
        <w:t>[</w:t>
      </w:r>
      <w:r>
        <w:rPr>
          <w:rFonts w:ascii="Times New Roman" w:hAnsi="Times New Roman"/>
          <w:sz w:val="16"/>
          <w:szCs w:val="16"/>
        </w:rPr>
        <w:t>2</w:t>
      </w:r>
      <w:r w:rsidRPr="005B35D3">
        <w:rPr>
          <w:rFonts w:ascii="Times New Roman" w:hAnsi="Times New Roman"/>
          <w:sz w:val="16"/>
          <w:szCs w:val="16"/>
        </w:rPr>
        <w:t>]</w:t>
      </w:r>
      <w:r w:rsidRPr="007A1301">
        <w:rPr>
          <w:rFonts w:ascii="Times New Roman" w:hAnsi="Times New Roman"/>
          <w:sz w:val="16"/>
          <w:szCs w:val="16"/>
        </w:rPr>
        <w:t>.</w:t>
      </w:r>
    </w:p>
  </w:footnote>
  <w:footnote w:id="8">
    <w:p w:rsidR="00A22665" w:rsidRPr="006B6CEB" w:rsidRDefault="00A22665" w:rsidP="00A22665">
      <w:pPr>
        <w:pStyle w:val="a5"/>
        <w:spacing w:after="0"/>
        <w:jc w:val="both"/>
        <w:rPr>
          <w:rFonts w:ascii="Times New Roman" w:hAnsi="Times New Roman"/>
          <w:sz w:val="16"/>
          <w:szCs w:val="16"/>
        </w:rPr>
      </w:pPr>
      <w:r w:rsidRPr="006B6CEB">
        <w:rPr>
          <w:rStyle w:val="a7"/>
          <w:rFonts w:ascii="Times New Roman" w:hAnsi="Times New Roman"/>
          <w:sz w:val="16"/>
          <w:szCs w:val="16"/>
        </w:rPr>
        <w:footnoteRef/>
      </w:r>
      <w:r w:rsidRPr="006B6CEB">
        <w:rPr>
          <w:rFonts w:ascii="Times New Roman" w:hAnsi="Times New Roman"/>
          <w:sz w:val="16"/>
          <w:szCs w:val="16"/>
        </w:rPr>
        <w:t xml:space="preserve"> График построен по данным статистической базы ЕЦБ</w:t>
      </w:r>
      <w:r>
        <w:rPr>
          <w:rFonts w:ascii="Times New Roman" w:hAnsi="Times New Roman"/>
          <w:sz w:val="16"/>
          <w:szCs w:val="16"/>
        </w:rPr>
        <w:t xml:space="preserve"> </w:t>
      </w:r>
      <w:r w:rsidRPr="00757D6A">
        <w:rPr>
          <w:rFonts w:ascii="Times New Roman" w:hAnsi="Times New Roman"/>
          <w:sz w:val="16"/>
          <w:szCs w:val="16"/>
        </w:rPr>
        <w:t>[</w:t>
      </w:r>
      <w:r>
        <w:rPr>
          <w:rFonts w:ascii="Times New Roman" w:hAnsi="Times New Roman"/>
          <w:sz w:val="16"/>
          <w:szCs w:val="16"/>
        </w:rPr>
        <w:t>8</w:t>
      </w:r>
      <w:r w:rsidRPr="00757D6A">
        <w:rPr>
          <w:rFonts w:ascii="Times New Roman" w:hAnsi="Times New Roman"/>
          <w:sz w:val="16"/>
          <w:szCs w:val="16"/>
        </w:rPr>
        <w:t>]</w:t>
      </w:r>
      <w:r w:rsidRPr="006B6CEB">
        <w:rPr>
          <w:rFonts w:ascii="Times New Roman" w:hAnsi="Times New Roman"/>
          <w:sz w:val="16"/>
          <w:szCs w:val="16"/>
        </w:rPr>
        <w:t>, которая учитывает только накопительные пенсионные схемы: обязательные и добровольные.</w:t>
      </w:r>
      <w:r w:rsidRPr="006B6CEB">
        <w:rPr>
          <w:rFonts w:ascii="Times New Roman" w:eastAsiaTheme="minorEastAsia" w:hAnsi="Times New Roman"/>
          <w:color w:val="000000" w:themeColor="text1"/>
          <w:kern w:val="24"/>
          <w:sz w:val="16"/>
          <w:szCs w:val="16"/>
          <w:lang w:eastAsia="ru-RU"/>
        </w:rPr>
        <w:t xml:space="preserve"> </w:t>
      </w:r>
      <w:r w:rsidRPr="006B6CEB">
        <w:rPr>
          <w:rFonts w:ascii="Times New Roman" w:hAnsi="Times New Roman"/>
          <w:sz w:val="16"/>
          <w:szCs w:val="16"/>
        </w:rPr>
        <w:t>«Акции» включают внебиржевые акции компаний; «Нефинансовые активы» включают недвижимость и землю; «</w:t>
      </w:r>
      <w:proofErr w:type="spellStart"/>
      <w:r w:rsidRPr="006B6CEB">
        <w:rPr>
          <w:rFonts w:ascii="Times New Roman" w:hAnsi="Times New Roman"/>
          <w:sz w:val="16"/>
          <w:szCs w:val="16"/>
        </w:rPr>
        <w:t>Цен</w:t>
      </w:r>
      <w:proofErr w:type="gramStart"/>
      <w:r w:rsidRPr="006B6CEB">
        <w:rPr>
          <w:rFonts w:ascii="Times New Roman" w:hAnsi="Times New Roman"/>
          <w:sz w:val="16"/>
          <w:szCs w:val="16"/>
        </w:rPr>
        <w:t>.б</w:t>
      </w:r>
      <w:proofErr w:type="gramEnd"/>
      <w:r w:rsidRPr="006B6CEB">
        <w:rPr>
          <w:rFonts w:ascii="Times New Roman" w:hAnsi="Times New Roman"/>
          <w:sz w:val="16"/>
          <w:szCs w:val="16"/>
        </w:rPr>
        <w:t>ум</w:t>
      </w:r>
      <w:proofErr w:type="spellEnd"/>
      <w:r w:rsidRPr="006B6CEB">
        <w:rPr>
          <w:rFonts w:ascii="Times New Roman" w:hAnsi="Times New Roman"/>
          <w:sz w:val="16"/>
          <w:szCs w:val="16"/>
        </w:rPr>
        <w:t xml:space="preserve">. кроме акций» включают государственный и корпоративный долги; «Займы» включают ссуды нефинансовым  корпорациям и прочим </w:t>
      </w:r>
      <w:proofErr w:type="spellStart"/>
      <w:r w:rsidRPr="006B6CEB">
        <w:rPr>
          <w:rFonts w:ascii="Times New Roman" w:hAnsi="Times New Roman"/>
          <w:sz w:val="16"/>
          <w:szCs w:val="16"/>
        </w:rPr>
        <w:t>юрлицам</w:t>
      </w:r>
      <w:proofErr w:type="spellEnd"/>
      <w:r w:rsidRPr="006B6CEB">
        <w:rPr>
          <w:rFonts w:ascii="Times New Roman" w:hAnsi="Times New Roman"/>
          <w:sz w:val="16"/>
          <w:szCs w:val="16"/>
        </w:rPr>
        <w:t>.</w:t>
      </w:r>
    </w:p>
  </w:footnote>
  <w:footnote w:id="9">
    <w:p w:rsidR="00A22665" w:rsidRDefault="00A22665" w:rsidP="00A22665">
      <w:pPr>
        <w:pStyle w:val="a5"/>
        <w:spacing w:after="0"/>
      </w:pPr>
      <w:r>
        <w:rPr>
          <w:rStyle w:val="a7"/>
        </w:rPr>
        <w:footnoteRef/>
      </w:r>
      <w:r>
        <w:t xml:space="preserve"> </w:t>
      </w:r>
      <w:r w:rsidRPr="006B6CEB">
        <w:rPr>
          <w:rFonts w:ascii="Times New Roman" w:hAnsi="Times New Roman"/>
          <w:sz w:val="16"/>
          <w:szCs w:val="16"/>
        </w:rPr>
        <w:t>График построен по данным статистической базы ЕЦБ</w:t>
      </w:r>
      <w:r>
        <w:rPr>
          <w:rFonts w:ascii="Times New Roman" w:hAnsi="Times New Roman"/>
          <w:sz w:val="16"/>
          <w:szCs w:val="16"/>
        </w:rPr>
        <w:t xml:space="preserve"> </w:t>
      </w:r>
      <w:r w:rsidRPr="00757D6A">
        <w:rPr>
          <w:rFonts w:ascii="Times New Roman" w:hAnsi="Times New Roman"/>
          <w:sz w:val="16"/>
          <w:szCs w:val="16"/>
        </w:rPr>
        <w:t>[</w:t>
      </w:r>
      <w:r>
        <w:rPr>
          <w:rFonts w:ascii="Times New Roman" w:hAnsi="Times New Roman"/>
          <w:sz w:val="16"/>
          <w:szCs w:val="16"/>
        </w:rPr>
        <w:t>8</w:t>
      </w:r>
      <w:r w:rsidRPr="00757D6A">
        <w:rPr>
          <w:rFonts w:ascii="Times New Roman" w:hAnsi="Times New Roman"/>
          <w:sz w:val="16"/>
          <w:szCs w:val="16"/>
        </w:rPr>
        <w:t>]</w:t>
      </w:r>
      <w:r>
        <w:rPr>
          <w:rFonts w:ascii="Times New Roman" w:hAnsi="Times New Roman"/>
          <w:sz w:val="16"/>
          <w:szCs w:val="16"/>
        </w:rPr>
        <w:t>.</w:t>
      </w:r>
    </w:p>
  </w:footnote>
  <w:footnote w:id="10">
    <w:p w:rsidR="00A22665" w:rsidRPr="000A34FF" w:rsidRDefault="00A22665" w:rsidP="00A22665">
      <w:pPr>
        <w:pStyle w:val="a5"/>
        <w:spacing w:after="0"/>
        <w:rPr>
          <w:rFonts w:ascii="Times New Roman" w:hAnsi="Times New Roman"/>
          <w:sz w:val="16"/>
          <w:szCs w:val="16"/>
        </w:rPr>
      </w:pPr>
      <w:r w:rsidRPr="000A34FF">
        <w:rPr>
          <w:rStyle w:val="a7"/>
          <w:rFonts w:ascii="Times New Roman" w:hAnsi="Times New Roman"/>
          <w:sz w:val="16"/>
          <w:szCs w:val="16"/>
        </w:rPr>
        <w:footnoteRef/>
      </w:r>
      <w:r w:rsidRPr="000A34FF">
        <w:rPr>
          <w:rFonts w:ascii="Times New Roman" w:hAnsi="Times New Roman"/>
          <w:sz w:val="16"/>
          <w:szCs w:val="16"/>
        </w:rPr>
        <w:t xml:space="preserve"> График построен по данным из доклада </w:t>
      </w:r>
      <w:r w:rsidRPr="000A34FF">
        <w:rPr>
          <w:rFonts w:ascii="Times New Roman" w:hAnsi="Times New Roman"/>
          <w:sz w:val="16"/>
          <w:szCs w:val="16"/>
          <w:lang w:val="en-US"/>
        </w:rPr>
        <w:t>PwC</w:t>
      </w:r>
      <w:r w:rsidRPr="000A34FF">
        <w:rPr>
          <w:rFonts w:ascii="Times New Roman" w:hAnsi="Times New Roman"/>
          <w:sz w:val="16"/>
          <w:szCs w:val="16"/>
        </w:rPr>
        <w:t xml:space="preserve"> [1].</w:t>
      </w:r>
    </w:p>
  </w:footnote>
  <w:footnote w:id="11">
    <w:p w:rsidR="00A22665" w:rsidRPr="006B6CEB" w:rsidRDefault="00A22665" w:rsidP="00A22665">
      <w:pPr>
        <w:pStyle w:val="a5"/>
        <w:spacing w:after="0"/>
        <w:jc w:val="both"/>
        <w:rPr>
          <w:rFonts w:ascii="Times New Roman" w:hAnsi="Times New Roman"/>
          <w:sz w:val="16"/>
          <w:szCs w:val="16"/>
        </w:rPr>
      </w:pPr>
      <w:r w:rsidRPr="000A34FF">
        <w:rPr>
          <w:rStyle w:val="a7"/>
          <w:rFonts w:ascii="Times New Roman" w:hAnsi="Times New Roman"/>
          <w:sz w:val="16"/>
          <w:szCs w:val="16"/>
        </w:rPr>
        <w:footnoteRef/>
      </w:r>
      <w:r w:rsidRPr="000A34FF">
        <w:rPr>
          <w:rFonts w:ascii="Times New Roman" w:hAnsi="Times New Roman"/>
          <w:sz w:val="16"/>
          <w:szCs w:val="16"/>
        </w:rPr>
        <w:t xml:space="preserve"> Меры по увеличению взносов, снижению выплат или принудительному расширению участия работников в пенсионн</w:t>
      </w:r>
      <w:r>
        <w:rPr>
          <w:rFonts w:ascii="Times New Roman" w:hAnsi="Times New Roman"/>
          <w:sz w:val="16"/>
          <w:szCs w:val="16"/>
        </w:rPr>
        <w:t>ых</w:t>
      </w:r>
      <w:r w:rsidRPr="000A34FF">
        <w:rPr>
          <w:rFonts w:ascii="Times New Roman" w:hAnsi="Times New Roman"/>
          <w:sz w:val="16"/>
          <w:szCs w:val="16"/>
        </w:rPr>
        <w:t xml:space="preserve"> </w:t>
      </w:r>
      <w:r>
        <w:rPr>
          <w:rFonts w:ascii="Times New Roman" w:hAnsi="Times New Roman"/>
          <w:sz w:val="16"/>
          <w:szCs w:val="16"/>
        </w:rPr>
        <w:t>схемах</w:t>
      </w:r>
      <w:r w:rsidRPr="000A34FF">
        <w:rPr>
          <w:rFonts w:ascii="Times New Roman" w:hAnsi="Times New Roman"/>
          <w:sz w:val="16"/>
          <w:szCs w:val="16"/>
        </w:rPr>
        <w:t xml:space="preserve"> здесь не рассматриваются.</w:t>
      </w:r>
    </w:p>
  </w:footnote>
  <w:footnote w:id="12">
    <w:p w:rsidR="00A22665" w:rsidRPr="000E582C" w:rsidRDefault="00A22665" w:rsidP="00A22665">
      <w:pPr>
        <w:pStyle w:val="a5"/>
        <w:jc w:val="both"/>
        <w:rPr>
          <w:rFonts w:ascii="Times New Roman" w:hAnsi="Times New Roman"/>
          <w:sz w:val="16"/>
          <w:szCs w:val="16"/>
        </w:rPr>
      </w:pPr>
      <w:r w:rsidRPr="000E582C">
        <w:rPr>
          <w:rStyle w:val="a7"/>
          <w:rFonts w:ascii="Times New Roman" w:hAnsi="Times New Roman"/>
          <w:sz w:val="16"/>
          <w:szCs w:val="16"/>
        </w:rPr>
        <w:footnoteRef/>
      </w:r>
      <w:r w:rsidRPr="000E582C">
        <w:rPr>
          <w:rFonts w:ascii="Times New Roman" w:hAnsi="Times New Roman"/>
          <w:sz w:val="16"/>
          <w:szCs w:val="16"/>
        </w:rPr>
        <w:t xml:space="preserve"> Инструмент предполагает уплату фондом премий страховой компании за то, что страховая компания соглашается взять на себя обязательства фонда по пенсионному обеспечению участника в случае, если фактическая продолжительность жизни участника окажется выше актуарной оценки продолжительности его жизни.</w:t>
      </w:r>
    </w:p>
  </w:footnote>
  <w:footnote w:id="13">
    <w:p w:rsidR="00A22665" w:rsidRPr="003D0277" w:rsidRDefault="00A22665" w:rsidP="00A22665">
      <w:pPr>
        <w:pStyle w:val="a5"/>
        <w:rPr>
          <w:rFonts w:ascii="Times New Roman" w:hAnsi="Times New Roman"/>
          <w:lang w:val="en-US"/>
        </w:rPr>
      </w:pPr>
      <w:r>
        <w:rPr>
          <w:rStyle w:val="a7"/>
        </w:rPr>
        <w:footnoteRef/>
      </w:r>
      <w:r w:rsidRPr="00C31FE7">
        <w:rPr>
          <w:lang w:val="en-US"/>
        </w:rPr>
        <w:t xml:space="preserve"> </w:t>
      </w:r>
      <w:r w:rsidRPr="00C81BDC">
        <w:rPr>
          <w:rFonts w:ascii="Times New Roman" w:hAnsi="Times New Roman"/>
        </w:rPr>
        <w:t>Исследование</w:t>
      </w:r>
      <w:r w:rsidRPr="00C81BDC">
        <w:rPr>
          <w:rFonts w:ascii="Times New Roman" w:hAnsi="Times New Roman"/>
          <w:lang w:val="en-US"/>
        </w:rPr>
        <w:t xml:space="preserve"> </w:t>
      </w:r>
      <w:r w:rsidRPr="00C81BDC">
        <w:rPr>
          <w:rFonts w:ascii="Times New Roman" w:hAnsi="Times New Roman"/>
        </w:rPr>
        <w:t>поведения</w:t>
      </w:r>
      <w:r w:rsidRPr="00C81BDC">
        <w:rPr>
          <w:rFonts w:ascii="Times New Roman" w:hAnsi="Times New Roman"/>
          <w:lang w:val="en-US"/>
        </w:rPr>
        <w:t xml:space="preserve"> </w:t>
      </w:r>
      <w:r w:rsidRPr="00C81BDC">
        <w:rPr>
          <w:rFonts w:ascii="Times New Roman" w:hAnsi="Times New Roman"/>
        </w:rPr>
        <w:t>корреляции</w:t>
      </w:r>
      <w:r w:rsidRPr="00C81BDC">
        <w:rPr>
          <w:rFonts w:ascii="Times New Roman" w:hAnsi="Times New Roman"/>
          <w:lang w:val="en-US"/>
        </w:rPr>
        <w:t xml:space="preserve"> </w:t>
      </w:r>
      <w:r w:rsidRPr="00C81BDC">
        <w:rPr>
          <w:rFonts w:ascii="Times New Roman" w:hAnsi="Times New Roman"/>
        </w:rPr>
        <w:t>в</w:t>
      </w:r>
      <w:r w:rsidRPr="00C81BDC">
        <w:rPr>
          <w:rFonts w:ascii="Times New Roman" w:hAnsi="Times New Roman"/>
          <w:lang w:val="en-US"/>
        </w:rPr>
        <w:t xml:space="preserve"> </w:t>
      </w:r>
      <w:r w:rsidRPr="00C81BDC">
        <w:rPr>
          <w:rFonts w:ascii="Times New Roman" w:hAnsi="Times New Roman"/>
        </w:rPr>
        <w:t>условиях</w:t>
      </w:r>
      <w:r w:rsidRPr="00C81BDC">
        <w:rPr>
          <w:rFonts w:ascii="Times New Roman" w:hAnsi="Times New Roman"/>
          <w:lang w:val="en-US"/>
        </w:rPr>
        <w:t xml:space="preserve"> </w:t>
      </w:r>
      <w:r w:rsidRPr="00C81BDC">
        <w:rPr>
          <w:rFonts w:ascii="Times New Roman" w:hAnsi="Times New Roman"/>
        </w:rPr>
        <w:t>кризиса</w:t>
      </w:r>
      <w:r w:rsidRPr="003D0277">
        <w:rPr>
          <w:rFonts w:ascii="Times New Roman" w:hAnsi="Times New Roman"/>
          <w:lang w:val="en-US"/>
        </w:rPr>
        <w:t>: Gunter Meissner, Correlation Risk Modeling and Management (New York: Wiley, 2014).</w:t>
      </w:r>
    </w:p>
  </w:footnote>
  <w:footnote w:id="14">
    <w:p w:rsidR="00A22665" w:rsidRDefault="00A22665" w:rsidP="00A22665">
      <w:pPr>
        <w:pStyle w:val="a5"/>
      </w:pPr>
      <w:r>
        <w:rPr>
          <w:rStyle w:val="a7"/>
        </w:rPr>
        <w:footnoteRef/>
      </w:r>
      <w:r>
        <w:t xml:space="preserve"> </w:t>
      </w:r>
      <w:r w:rsidRPr="008E5197">
        <w:rPr>
          <w:rFonts w:ascii="Times New Roman" w:hAnsi="Times New Roman"/>
        </w:rPr>
        <w:t>Расчет</w:t>
      </w:r>
      <w:r>
        <w:rPr>
          <w:rFonts w:ascii="Times New Roman" w:hAnsi="Times New Roman"/>
        </w:rPr>
        <w:t>ным периодом для определения</w:t>
      </w:r>
      <w:r w:rsidRPr="008E5197">
        <w:rPr>
          <w:rFonts w:ascii="Times New Roman" w:hAnsi="Times New Roman"/>
        </w:rPr>
        <w:t xml:space="preserve"> коэффициента бета</w:t>
      </w:r>
      <w:r>
        <w:rPr>
          <w:rFonts w:ascii="Times New Roman" w:hAnsi="Times New Roman"/>
        </w:rPr>
        <w:t xml:space="preserve"> принимался календарный месяц.</w:t>
      </w:r>
    </w:p>
  </w:footnote>
  <w:footnote w:id="15">
    <w:p w:rsidR="00A22665" w:rsidRDefault="00A22665" w:rsidP="00A22665">
      <w:pPr>
        <w:pStyle w:val="a5"/>
      </w:pPr>
      <w:r>
        <w:rPr>
          <w:rStyle w:val="a7"/>
        </w:rPr>
        <w:footnoteRef/>
      </w:r>
      <w:r>
        <w:t xml:space="preserve"> </w:t>
      </w:r>
      <w:r w:rsidRPr="008E5197">
        <w:rPr>
          <w:rFonts w:ascii="Times New Roman" w:hAnsi="Times New Roman"/>
        </w:rPr>
        <w:t>Расчет</w:t>
      </w:r>
      <w:r>
        <w:rPr>
          <w:rFonts w:ascii="Times New Roman" w:hAnsi="Times New Roman"/>
        </w:rPr>
        <w:t>ным периодом для определения</w:t>
      </w:r>
      <w:r w:rsidRPr="00FD5CBC">
        <w:rPr>
          <w:rFonts w:ascii="Times New Roman" w:hAnsi="Times New Roman"/>
        </w:rPr>
        <w:t xml:space="preserve"> годового</w:t>
      </w:r>
      <w:r>
        <w:rPr>
          <w:rFonts w:ascii="Times New Roman" w:hAnsi="Times New Roman"/>
        </w:rPr>
        <w:t xml:space="preserve"> VAR принимался календарный месяц. Расчет осуществлялся для доверительной вероятности равной 0.95.</w:t>
      </w:r>
    </w:p>
  </w:footnote>
  <w:footnote w:id="16">
    <w:p w:rsidR="00A22665" w:rsidRPr="006B392C" w:rsidRDefault="00A22665" w:rsidP="00A22665">
      <w:pPr>
        <w:pStyle w:val="a5"/>
        <w:rPr>
          <w:rFonts w:ascii="Times New Roman" w:hAnsi="Times New Roman"/>
        </w:rPr>
      </w:pPr>
      <w:r>
        <w:rPr>
          <w:rStyle w:val="a7"/>
        </w:rPr>
        <w:footnoteRef/>
      </w:r>
      <w:r w:rsidRPr="007510E3">
        <w:t xml:space="preserve"> </w:t>
      </w:r>
      <w:r w:rsidRPr="00AC24F5">
        <w:rPr>
          <w:rFonts w:ascii="Times New Roman" w:hAnsi="Times New Roman"/>
        </w:rPr>
        <w:t>В</w:t>
      </w:r>
      <w:r w:rsidRPr="007510E3">
        <w:rPr>
          <w:rFonts w:ascii="Times New Roman" w:hAnsi="Times New Roman"/>
        </w:rPr>
        <w:t xml:space="preserve"> </w:t>
      </w:r>
      <w:r w:rsidRPr="00AC24F5">
        <w:rPr>
          <w:rFonts w:ascii="Times New Roman" w:hAnsi="Times New Roman"/>
        </w:rPr>
        <w:t>расчетах</w:t>
      </w:r>
      <w:r w:rsidRPr="007510E3">
        <w:rPr>
          <w:rFonts w:ascii="Times New Roman" w:hAnsi="Times New Roman"/>
        </w:rPr>
        <w:t xml:space="preserve"> </w:t>
      </w:r>
      <w:r w:rsidRPr="00AC24F5">
        <w:rPr>
          <w:rFonts w:ascii="Times New Roman" w:hAnsi="Times New Roman"/>
        </w:rPr>
        <w:t>применялся</w:t>
      </w:r>
      <w:r w:rsidRPr="007510E3">
        <w:rPr>
          <w:rFonts w:ascii="Times New Roman" w:hAnsi="Times New Roman"/>
        </w:rPr>
        <w:t xml:space="preserve"> </w:t>
      </w:r>
      <w:r w:rsidRPr="00AC24F5">
        <w:rPr>
          <w:rFonts w:ascii="Times New Roman" w:hAnsi="Times New Roman"/>
        </w:rPr>
        <w:t>метод</w:t>
      </w:r>
      <w:r w:rsidRPr="007510E3">
        <w:rPr>
          <w:rFonts w:ascii="Times New Roman" w:hAnsi="Times New Roman"/>
        </w:rPr>
        <w:t xml:space="preserve"> </w:t>
      </w:r>
      <w:r>
        <w:rPr>
          <w:rFonts w:ascii="Times New Roman" w:hAnsi="Times New Roman"/>
        </w:rPr>
        <w:t>определения стоимости ликвидности основанный на предположении о постоянном спреде</w:t>
      </w:r>
      <w:r w:rsidRPr="007510E3">
        <w:rPr>
          <w:rFonts w:ascii="Times New Roman" w:hAnsi="Times New Roman"/>
        </w:rPr>
        <w:t xml:space="preserve"> (</w:t>
      </w:r>
      <w:r w:rsidRPr="00AC24F5">
        <w:rPr>
          <w:rFonts w:ascii="Times New Roman" w:hAnsi="Times New Roman"/>
          <w:lang w:val="en-US"/>
        </w:rPr>
        <w:t>constant</w:t>
      </w:r>
      <w:r w:rsidRPr="007510E3">
        <w:rPr>
          <w:rFonts w:ascii="Times New Roman" w:hAnsi="Times New Roman"/>
        </w:rPr>
        <w:t xml:space="preserve"> </w:t>
      </w:r>
      <w:r w:rsidRPr="00AC24F5">
        <w:rPr>
          <w:rFonts w:ascii="Times New Roman" w:hAnsi="Times New Roman"/>
          <w:lang w:val="en-US"/>
        </w:rPr>
        <w:t>spread</w:t>
      </w:r>
      <w:r w:rsidRPr="007510E3">
        <w:rPr>
          <w:rFonts w:ascii="Times New Roman" w:hAnsi="Times New Roman"/>
        </w:rPr>
        <w:t xml:space="preserve"> </w:t>
      </w:r>
      <w:r w:rsidRPr="00AC24F5">
        <w:rPr>
          <w:rFonts w:ascii="Times New Roman" w:hAnsi="Times New Roman"/>
          <w:lang w:val="en-US"/>
        </w:rPr>
        <w:t>approach</w:t>
      </w:r>
      <w:r w:rsidRPr="007510E3">
        <w:rPr>
          <w:rFonts w:ascii="Times New Roman" w:hAnsi="Times New Roman"/>
        </w:rPr>
        <w:t xml:space="preserve">): </w:t>
      </w:r>
      <w:r w:rsidRPr="00AC24F5">
        <w:rPr>
          <w:rFonts w:ascii="Times New Roman" w:hAnsi="Times New Roman"/>
          <w:lang w:val="en-US"/>
        </w:rPr>
        <w:t>spread</w:t>
      </w:r>
      <w:r w:rsidRPr="006B392C">
        <w:rPr>
          <w:rFonts w:ascii="Times New Roman" w:hAnsi="Times New Roman"/>
        </w:rPr>
        <w:t>=(</w:t>
      </w:r>
      <w:r w:rsidRPr="00AC24F5">
        <w:rPr>
          <w:rFonts w:ascii="Times New Roman" w:hAnsi="Times New Roman"/>
          <w:lang w:val="en-US"/>
        </w:rPr>
        <w:t>ask</w:t>
      </w:r>
      <w:r w:rsidRPr="006B392C">
        <w:rPr>
          <w:rFonts w:ascii="Times New Roman" w:hAnsi="Times New Roman"/>
        </w:rPr>
        <w:t xml:space="preserve"> </w:t>
      </w:r>
      <w:r w:rsidRPr="00AC24F5">
        <w:rPr>
          <w:rFonts w:ascii="Times New Roman" w:hAnsi="Times New Roman"/>
          <w:lang w:val="en-US"/>
        </w:rPr>
        <w:t>price</w:t>
      </w:r>
      <w:r w:rsidRPr="006B392C">
        <w:rPr>
          <w:rFonts w:ascii="Times New Roman" w:hAnsi="Times New Roman"/>
        </w:rPr>
        <w:t xml:space="preserve"> - </w:t>
      </w:r>
      <w:r w:rsidRPr="00AC24F5">
        <w:rPr>
          <w:rFonts w:ascii="Times New Roman" w:hAnsi="Times New Roman"/>
          <w:lang w:val="en-US"/>
        </w:rPr>
        <w:t>bid</w:t>
      </w:r>
      <w:r w:rsidRPr="006B392C">
        <w:rPr>
          <w:rFonts w:ascii="Times New Roman" w:hAnsi="Times New Roman"/>
        </w:rPr>
        <w:t xml:space="preserve"> </w:t>
      </w:r>
      <w:r w:rsidRPr="00AC24F5">
        <w:rPr>
          <w:rFonts w:ascii="Times New Roman" w:hAnsi="Times New Roman"/>
          <w:lang w:val="en-US"/>
        </w:rPr>
        <w:t>price</w:t>
      </w:r>
      <w:r w:rsidRPr="006B392C">
        <w:rPr>
          <w:rFonts w:ascii="Times New Roman" w:hAnsi="Times New Roman"/>
        </w:rPr>
        <w:t>)*2/</w:t>
      </w:r>
      <w:proofErr w:type="gramStart"/>
      <w:r w:rsidRPr="006B392C">
        <w:rPr>
          <w:rFonts w:ascii="Times New Roman" w:hAnsi="Times New Roman"/>
        </w:rPr>
        <w:t xml:space="preserve">( </w:t>
      </w:r>
      <w:proofErr w:type="gramEnd"/>
      <w:r w:rsidRPr="00AC24F5">
        <w:rPr>
          <w:rFonts w:ascii="Times New Roman" w:hAnsi="Times New Roman"/>
          <w:lang w:val="en-US"/>
        </w:rPr>
        <w:t>ask</w:t>
      </w:r>
      <w:r w:rsidRPr="006B392C">
        <w:rPr>
          <w:rFonts w:ascii="Times New Roman" w:hAnsi="Times New Roman"/>
        </w:rPr>
        <w:t xml:space="preserve"> </w:t>
      </w:r>
      <w:r w:rsidRPr="00AC24F5">
        <w:rPr>
          <w:rFonts w:ascii="Times New Roman" w:hAnsi="Times New Roman"/>
          <w:lang w:val="en-US"/>
        </w:rPr>
        <w:t>price</w:t>
      </w:r>
      <w:r w:rsidRPr="006B392C">
        <w:rPr>
          <w:rFonts w:ascii="Times New Roman" w:hAnsi="Times New Roman"/>
        </w:rPr>
        <w:t xml:space="preserve"> + </w:t>
      </w:r>
      <w:r w:rsidRPr="00AC24F5">
        <w:rPr>
          <w:rFonts w:ascii="Times New Roman" w:hAnsi="Times New Roman"/>
          <w:lang w:val="en-US"/>
        </w:rPr>
        <w:t>bid</w:t>
      </w:r>
      <w:r w:rsidRPr="006B392C">
        <w:rPr>
          <w:rFonts w:ascii="Times New Roman" w:hAnsi="Times New Roman"/>
        </w:rPr>
        <w:t xml:space="preserve"> </w:t>
      </w:r>
      <w:r w:rsidRPr="00AC24F5">
        <w:rPr>
          <w:rFonts w:ascii="Times New Roman" w:hAnsi="Times New Roman"/>
          <w:lang w:val="en-US"/>
        </w:rPr>
        <w:t>price</w:t>
      </w:r>
      <w:r w:rsidRPr="006B392C">
        <w:rPr>
          <w:rFonts w:ascii="Times New Roman" w:hAnsi="Times New Roman"/>
        </w:rPr>
        <w:t>)</w:t>
      </w:r>
    </w:p>
  </w:footnote>
  <w:footnote w:id="17">
    <w:p w:rsidR="00A22665" w:rsidRDefault="00A22665" w:rsidP="00A22665">
      <w:pPr>
        <w:pStyle w:val="a5"/>
      </w:pPr>
      <w:r>
        <w:rPr>
          <w:rStyle w:val="a7"/>
        </w:rPr>
        <w:footnoteRef/>
      </w:r>
      <w:r>
        <w:t xml:space="preserve"> </w:t>
      </w:r>
      <w:r>
        <w:rPr>
          <w:rFonts w:ascii="Times New Roman" w:hAnsi="Times New Roman"/>
        </w:rPr>
        <w:t xml:space="preserve">Показатель </w:t>
      </w:r>
      <w:r>
        <w:rPr>
          <w:rFonts w:ascii="Times New Roman" w:hAnsi="Times New Roman"/>
          <w:lang w:val="en-US"/>
        </w:rPr>
        <w:t>VAR</w:t>
      </w:r>
      <w:r w:rsidRPr="00A0308A">
        <w:rPr>
          <w:rFonts w:ascii="Times New Roman" w:hAnsi="Times New Roman"/>
        </w:rPr>
        <w:t xml:space="preserve"> </w:t>
      </w:r>
      <w:r>
        <w:rPr>
          <w:rFonts w:ascii="Times New Roman" w:hAnsi="Times New Roman"/>
        </w:rPr>
        <w:t xml:space="preserve">рассчитывался на даты изменения списка ценных бумаг </w:t>
      </w:r>
      <w:proofErr w:type="spellStart"/>
      <w:r>
        <w:rPr>
          <w:rFonts w:ascii="Times New Roman" w:hAnsi="Times New Roman"/>
        </w:rPr>
        <w:t>субиндекса</w:t>
      </w:r>
      <w:proofErr w:type="spellEnd"/>
      <w:r>
        <w:rPr>
          <w:rFonts w:ascii="Times New Roman" w:hAnsi="Times New Roman"/>
        </w:rPr>
        <w:t xml:space="preserve"> облигаций, по каждому выпуску ценных бумаг </w:t>
      </w:r>
      <w:proofErr w:type="spellStart"/>
      <w:r>
        <w:rPr>
          <w:rFonts w:ascii="Times New Roman" w:hAnsi="Times New Roman"/>
        </w:rPr>
        <w:t>субъиндекса</w:t>
      </w:r>
      <w:proofErr w:type="spellEnd"/>
      <w:r>
        <w:rPr>
          <w:rFonts w:ascii="Times New Roman" w:hAnsi="Times New Roman"/>
        </w:rPr>
        <w:t>. Корреляция между доходностями выпусков ценных бумаг не учитывалась.</w:t>
      </w:r>
    </w:p>
  </w:footnote>
  <w:footnote w:id="18">
    <w:p w:rsidR="00A22665" w:rsidRPr="00A735AF" w:rsidRDefault="00A22665" w:rsidP="00A22665">
      <w:pPr>
        <w:pStyle w:val="a5"/>
        <w:jc w:val="both"/>
      </w:pPr>
      <w:r>
        <w:rPr>
          <w:rStyle w:val="a7"/>
        </w:rPr>
        <w:footnoteRef/>
      </w:r>
      <w:r>
        <w:t xml:space="preserve"> </w:t>
      </w:r>
      <w:r>
        <w:rPr>
          <w:rFonts w:ascii="Times New Roman" w:hAnsi="Times New Roman"/>
        </w:rPr>
        <w:t>Оценка вероятности дефолта (</w:t>
      </w:r>
      <w:r>
        <w:rPr>
          <w:rFonts w:ascii="Times New Roman" w:hAnsi="Times New Roman"/>
          <w:lang w:val="en-US"/>
        </w:rPr>
        <w:t>Probability</w:t>
      </w:r>
      <w:r w:rsidRPr="001B1C43">
        <w:rPr>
          <w:rFonts w:ascii="Times New Roman" w:hAnsi="Times New Roman"/>
        </w:rPr>
        <w:t xml:space="preserve"> </w:t>
      </w:r>
      <w:r>
        <w:rPr>
          <w:rFonts w:ascii="Times New Roman" w:hAnsi="Times New Roman"/>
          <w:lang w:val="en-US"/>
        </w:rPr>
        <w:t>Default</w:t>
      </w:r>
      <w:r>
        <w:rPr>
          <w:rFonts w:ascii="Times New Roman" w:hAnsi="Times New Roman"/>
        </w:rPr>
        <w:t>)</w:t>
      </w:r>
      <w:r w:rsidRPr="001B1C43">
        <w:rPr>
          <w:rFonts w:ascii="Times New Roman" w:hAnsi="Times New Roman"/>
        </w:rPr>
        <w:t xml:space="preserve"> </w:t>
      </w:r>
      <w:r>
        <w:rPr>
          <w:rFonts w:ascii="Times New Roman" w:hAnsi="Times New Roman"/>
        </w:rPr>
        <w:t xml:space="preserve">осуществлялась на основе данных международного рейтингового агентства </w:t>
      </w:r>
      <w:r>
        <w:rPr>
          <w:rFonts w:ascii="Times New Roman" w:hAnsi="Times New Roman"/>
          <w:lang w:val="en-US"/>
        </w:rPr>
        <w:t>Moody</w:t>
      </w:r>
      <w:r w:rsidRPr="001B1C43">
        <w:rPr>
          <w:rFonts w:ascii="Times New Roman" w:hAnsi="Times New Roman"/>
        </w:rPr>
        <w:t>’</w:t>
      </w:r>
      <w:r>
        <w:rPr>
          <w:rFonts w:ascii="Times New Roman" w:hAnsi="Times New Roman"/>
          <w:lang w:val="en-US"/>
        </w:rPr>
        <w:t>s</w:t>
      </w:r>
      <w:r w:rsidRPr="001B1C43">
        <w:rPr>
          <w:rFonts w:ascii="Times New Roman" w:hAnsi="Times New Roman"/>
        </w:rPr>
        <w:t xml:space="preserve"> </w:t>
      </w:r>
      <w:r>
        <w:rPr>
          <w:rFonts w:ascii="Times New Roman" w:hAnsi="Times New Roman"/>
        </w:rPr>
        <w:t>(</w:t>
      </w:r>
      <w:r w:rsidRPr="00EF652B">
        <w:rPr>
          <w:rFonts w:ascii="Times New Roman" w:eastAsiaTheme="minorEastAsia" w:hAnsi="Times New Roman"/>
          <w:lang w:val="en-US"/>
        </w:rPr>
        <w:t>Moody</w:t>
      </w:r>
      <w:r w:rsidRPr="00EF652B">
        <w:rPr>
          <w:rFonts w:ascii="Times New Roman" w:eastAsiaTheme="minorEastAsia" w:hAnsi="Times New Roman"/>
        </w:rPr>
        <w:t>’</w:t>
      </w:r>
      <w:r w:rsidRPr="00EF652B">
        <w:rPr>
          <w:rFonts w:ascii="Times New Roman" w:eastAsiaTheme="minorEastAsia" w:hAnsi="Times New Roman"/>
          <w:lang w:val="en-US"/>
        </w:rPr>
        <w:t>s</w:t>
      </w:r>
      <w:r w:rsidRPr="00EF652B">
        <w:rPr>
          <w:rFonts w:ascii="Times New Roman" w:eastAsiaTheme="minorEastAsia" w:hAnsi="Times New Roman"/>
        </w:rPr>
        <w:t xml:space="preserve"> </w:t>
      </w:r>
      <w:r w:rsidRPr="00EF652B">
        <w:rPr>
          <w:rFonts w:ascii="Times New Roman" w:eastAsiaTheme="minorEastAsia" w:hAnsi="Times New Roman"/>
          <w:lang w:val="en-US"/>
        </w:rPr>
        <w:t>investors</w:t>
      </w:r>
      <w:r w:rsidRPr="00EF652B">
        <w:rPr>
          <w:rFonts w:ascii="Times New Roman" w:eastAsiaTheme="minorEastAsia" w:hAnsi="Times New Roman"/>
        </w:rPr>
        <w:t xml:space="preserve"> </w:t>
      </w:r>
      <w:r w:rsidRPr="00EF652B">
        <w:rPr>
          <w:rFonts w:ascii="Times New Roman" w:eastAsiaTheme="minorEastAsia" w:hAnsi="Times New Roman"/>
          <w:lang w:val="en-US"/>
        </w:rPr>
        <w:t>service</w:t>
      </w:r>
      <w:r w:rsidRPr="00EF652B">
        <w:rPr>
          <w:rFonts w:ascii="Times New Roman" w:eastAsiaTheme="minorEastAsia" w:hAnsi="Times New Roman"/>
        </w:rPr>
        <w:t xml:space="preserve">, </w:t>
      </w:r>
      <w:r w:rsidRPr="00EF652B">
        <w:rPr>
          <w:rFonts w:ascii="Times New Roman" w:eastAsiaTheme="minorEastAsia" w:hAnsi="Times New Roman"/>
          <w:lang w:val="en-US"/>
        </w:rPr>
        <w:t>Corporate</w:t>
      </w:r>
      <w:r w:rsidRPr="00EF652B">
        <w:rPr>
          <w:rFonts w:ascii="Times New Roman" w:eastAsiaTheme="minorEastAsia" w:hAnsi="Times New Roman"/>
        </w:rPr>
        <w:t xml:space="preserve"> </w:t>
      </w:r>
      <w:r w:rsidRPr="00EF652B">
        <w:rPr>
          <w:rFonts w:ascii="Times New Roman" w:eastAsiaTheme="minorEastAsia" w:hAnsi="Times New Roman"/>
          <w:lang w:val="en-US"/>
        </w:rPr>
        <w:t>Default</w:t>
      </w:r>
      <w:r w:rsidRPr="00EF652B">
        <w:rPr>
          <w:rFonts w:ascii="Times New Roman" w:eastAsiaTheme="minorEastAsia" w:hAnsi="Times New Roman"/>
        </w:rPr>
        <w:t xml:space="preserve"> </w:t>
      </w:r>
      <w:r w:rsidRPr="00EF652B">
        <w:rPr>
          <w:rFonts w:ascii="Times New Roman" w:eastAsiaTheme="minorEastAsia" w:hAnsi="Times New Roman"/>
          <w:lang w:val="en-US"/>
        </w:rPr>
        <w:t>and</w:t>
      </w:r>
      <w:r w:rsidRPr="00EF652B">
        <w:rPr>
          <w:rFonts w:ascii="Times New Roman" w:eastAsiaTheme="minorEastAsia" w:hAnsi="Times New Roman"/>
        </w:rPr>
        <w:t xml:space="preserve"> </w:t>
      </w:r>
      <w:r w:rsidRPr="00EF652B">
        <w:rPr>
          <w:rFonts w:ascii="Times New Roman" w:eastAsiaTheme="minorEastAsia" w:hAnsi="Times New Roman"/>
          <w:lang w:val="en-US"/>
        </w:rPr>
        <w:t>Recovery</w:t>
      </w:r>
      <w:r w:rsidRPr="00EF652B">
        <w:rPr>
          <w:rFonts w:ascii="Times New Roman" w:eastAsiaTheme="minorEastAsia" w:hAnsi="Times New Roman"/>
        </w:rPr>
        <w:t xml:space="preserve"> </w:t>
      </w:r>
      <w:r w:rsidRPr="00EF652B">
        <w:rPr>
          <w:rFonts w:ascii="Times New Roman" w:eastAsiaTheme="minorEastAsia" w:hAnsi="Times New Roman"/>
          <w:lang w:val="en-US"/>
        </w:rPr>
        <w:t>Rates</w:t>
      </w:r>
      <w:r w:rsidRPr="00EF652B">
        <w:rPr>
          <w:rFonts w:ascii="Times New Roman" w:eastAsiaTheme="minorEastAsia" w:hAnsi="Times New Roman"/>
        </w:rPr>
        <w:t xml:space="preserve"> 1920-2010, </w:t>
      </w:r>
      <w:r w:rsidRPr="00EF652B">
        <w:rPr>
          <w:rFonts w:ascii="Times New Roman" w:eastAsiaTheme="minorEastAsia" w:hAnsi="Times New Roman"/>
          <w:lang w:val="en-US"/>
        </w:rPr>
        <w:t>February</w:t>
      </w:r>
      <w:r w:rsidRPr="00EF652B">
        <w:rPr>
          <w:rFonts w:ascii="Times New Roman" w:eastAsiaTheme="minorEastAsia" w:hAnsi="Times New Roman"/>
        </w:rPr>
        <w:t xml:space="preserve"> 28,2011</w:t>
      </w:r>
      <w:r>
        <w:rPr>
          <w:rFonts w:ascii="Times New Roman" w:hAnsi="Times New Roman"/>
        </w:rPr>
        <w:t>)</w:t>
      </w:r>
      <w:r w:rsidRPr="00A735AF">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674"/>
      <w:docPartObj>
        <w:docPartGallery w:val="Page Numbers (Top of Page)"/>
        <w:docPartUnique/>
      </w:docPartObj>
    </w:sdtPr>
    <w:sdtContent>
      <w:p w:rsidR="00411DEC" w:rsidRDefault="00411DEC">
        <w:pPr>
          <w:pStyle w:val="ad"/>
          <w:jc w:val="right"/>
        </w:pPr>
        <w:r>
          <w:fldChar w:fldCharType="begin"/>
        </w:r>
        <w:r>
          <w:instrText>PAGE   \* MERGEFORMAT</w:instrText>
        </w:r>
        <w:r>
          <w:fldChar w:fldCharType="separate"/>
        </w:r>
        <w:r>
          <w:rPr>
            <w:noProof/>
          </w:rPr>
          <w:t>43</w:t>
        </w:r>
        <w:r>
          <w:fldChar w:fldCharType="end"/>
        </w:r>
      </w:p>
    </w:sdtContent>
  </w:sdt>
  <w:p w:rsidR="00411DEC" w:rsidRDefault="00411DE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981"/>
    <w:multiLevelType w:val="hybridMultilevel"/>
    <w:tmpl w:val="D6A2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72FFF"/>
    <w:multiLevelType w:val="hybridMultilevel"/>
    <w:tmpl w:val="83C0E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6E0262"/>
    <w:multiLevelType w:val="hybridMultilevel"/>
    <w:tmpl w:val="83C0EF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FA7630"/>
    <w:multiLevelType w:val="hybridMultilevel"/>
    <w:tmpl w:val="6430DD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14036A"/>
    <w:multiLevelType w:val="hybridMultilevel"/>
    <w:tmpl w:val="C882DF8E"/>
    <w:lvl w:ilvl="0" w:tplc="5D0E4B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94B79D3"/>
    <w:multiLevelType w:val="hybridMultilevel"/>
    <w:tmpl w:val="D6A29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981"/>
    <w:rsid w:val="000A7EB9"/>
    <w:rsid w:val="000B46C9"/>
    <w:rsid w:val="001A7D82"/>
    <w:rsid w:val="00234145"/>
    <w:rsid w:val="00241981"/>
    <w:rsid w:val="00411DEC"/>
    <w:rsid w:val="00A22665"/>
    <w:rsid w:val="00C369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26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2266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9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981"/>
    <w:rPr>
      <w:rFonts w:ascii="Tahoma" w:hAnsi="Tahoma" w:cs="Tahoma"/>
      <w:sz w:val="16"/>
      <w:szCs w:val="16"/>
    </w:rPr>
  </w:style>
  <w:style w:type="paragraph" w:styleId="a5">
    <w:name w:val="footnote text"/>
    <w:basedOn w:val="a"/>
    <w:link w:val="a6"/>
    <w:uiPriority w:val="99"/>
    <w:semiHidden/>
    <w:unhideWhenUsed/>
    <w:rsid w:val="00A22665"/>
    <w:rPr>
      <w:rFonts w:ascii="Calibri" w:eastAsia="Calibri" w:hAnsi="Calibri" w:cs="Times New Roman"/>
      <w:sz w:val="20"/>
      <w:szCs w:val="20"/>
    </w:rPr>
  </w:style>
  <w:style w:type="character" w:customStyle="1" w:styleId="a6">
    <w:name w:val="Текст сноски Знак"/>
    <w:basedOn w:val="a0"/>
    <w:link w:val="a5"/>
    <w:uiPriority w:val="99"/>
    <w:semiHidden/>
    <w:rsid w:val="00A22665"/>
    <w:rPr>
      <w:rFonts w:ascii="Calibri" w:eastAsia="Calibri" w:hAnsi="Calibri" w:cs="Times New Roman"/>
      <w:sz w:val="20"/>
      <w:szCs w:val="20"/>
    </w:rPr>
  </w:style>
  <w:style w:type="character" w:styleId="a7">
    <w:name w:val="footnote reference"/>
    <w:uiPriority w:val="99"/>
    <w:semiHidden/>
    <w:unhideWhenUsed/>
    <w:rsid w:val="00A22665"/>
    <w:rPr>
      <w:vertAlign w:val="superscript"/>
    </w:rPr>
  </w:style>
  <w:style w:type="character" w:customStyle="1" w:styleId="10">
    <w:name w:val="Заголовок 1 Знак"/>
    <w:basedOn w:val="a0"/>
    <w:link w:val="1"/>
    <w:uiPriority w:val="9"/>
    <w:rsid w:val="00A2266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22665"/>
    <w:rPr>
      <w:rFonts w:asciiTheme="majorHAnsi" w:eastAsiaTheme="majorEastAsia" w:hAnsiTheme="majorHAnsi" w:cstheme="majorBidi"/>
      <w:color w:val="365F91" w:themeColor="accent1" w:themeShade="BF"/>
      <w:sz w:val="26"/>
      <w:szCs w:val="26"/>
    </w:rPr>
  </w:style>
  <w:style w:type="paragraph" w:styleId="a8">
    <w:name w:val="List Paragraph"/>
    <w:basedOn w:val="a"/>
    <w:uiPriority w:val="34"/>
    <w:qFormat/>
    <w:rsid w:val="00A22665"/>
    <w:pPr>
      <w:spacing w:after="160" w:line="259" w:lineRule="auto"/>
      <w:ind w:left="720"/>
      <w:contextualSpacing/>
    </w:pPr>
  </w:style>
  <w:style w:type="character" w:styleId="a9">
    <w:name w:val="Hyperlink"/>
    <w:basedOn w:val="a0"/>
    <w:uiPriority w:val="99"/>
    <w:unhideWhenUsed/>
    <w:rsid w:val="00A22665"/>
    <w:rPr>
      <w:color w:val="0000FF" w:themeColor="hyperlink"/>
      <w:u w:val="single"/>
    </w:rPr>
  </w:style>
  <w:style w:type="table" w:styleId="aa">
    <w:name w:val="Table Grid"/>
    <w:basedOn w:val="a1"/>
    <w:uiPriority w:val="39"/>
    <w:rsid w:val="00A2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Базовый"/>
    <w:rsid w:val="00A22665"/>
    <w:pPr>
      <w:suppressAutoHyphens/>
    </w:pPr>
    <w:rPr>
      <w:rFonts w:ascii="Calibri" w:eastAsia="Lucida Sans Unicode" w:hAnsi="Calibri" w:cs="Calibri"/>
    </w:rPr>
  </w:style>
  <w:style w:type="paragraph" w:customStyle="1" w:styleId="ac">
    <w:name w:val="Текст в заданном формате"/>
    <w:basedOn w:val="ab"/>
    <w:rsid w:val="00A22665"/>
    <w:pPr>
      <w:widowControl w:val="0"/>
      <w:spacing w:after="0"/>
    </w:pPr>
    <w:rPr>
      <w:rFonts w:ascii="Times New Roman" w:eastAsia="Times New Roman" w:hAnsi="Times New Roman" w:cs="Times New Roman"/>
      <w:sz w:val="20"/>
      <w:szCs w:val="20"/>
      <w:lang w:eastAsia="zh-CN" w:bidi="hi-IN"/>
    </w:rPr>
  </w:style>
  <w:style w:type="paragraph" w:styleId="ad">
    <w:name w:val="header"/>
    <w:basedOn w:val="a"/>
    <w:link w:val="ae"/>
    <w:uiPriority w:val="99"/>
    <w:unhideWhenUsed/>
    <w:rsid w:val="00411D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1DEC"/>
  </w:style>
  <w:style w:type="paragraph" w:styleId="af">
    <w:name w:val="footer"/>
    <w:basedOn w:val="a"/>
    <w:link w:val="af0"/>
    <w:uiPriority w:val="99"/>
    <w:unhideWhenUsed/>
    <w:rsid w:val="00411D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1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2266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2266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198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1981"/>
    <w:rPr>
      <w:rFonts w:ascii="Tahoma" w:hAnsi="Tahoma" w:cs="Tahoma"/>
      <w:sz w:val="16"/>
      <w:szCs w:val="16"/>
    </w:rPr>
  </w:style>
  <w:style w:type="paragraph" w:styleId="a5">
    <w:name w:val="footnote text"/>
    <w:basedOn w:val="a"/>
    <w:link w:val="a6"/>
    <w:uiPriority w:val="99"/>
    <w:semiHidden/>
    <w:unhideWhenUsed/>
    <w:rsid w:val="00A22665"/>
    <w:rPr>
      <w:rFonts w:ascii="Calibri" w:eastAsia="Calibri" w:hAnsi="Calibri" w:cs="Times New Roman"/>
      <w:sz w:val="20"/>
      <w:szCs w:val="20"/>
    </w:rPr>
  </w:style>
  <w:style w:type="character" w:customStyle="1" w:styleId="a6">
    <w:name w:val="Текст сноски Знак"/>
    <w:basedOn w:val="a0"/>
    <w:link w:val="a5"/>
    <w:uiPriority w:val="99"/>
    <w:semiHidden/>
    <w:rsid w:val="00A22665"/>
    <w:rPr>
      <w:rFonts w:ascii="Calibri" w:eastAsia="Calibri" w:hAnsi="Calibri" w:cs="Times New Roman"/>
      <w:sz w:val="20"/>
      <w:szCs w:val="20"/>
    </w:rPr>
  </w:style>
  <w:style w:type="character" w:styleId="a7">
    <w:name w:val="footnote reference"/>
    <w:uiPriority w:val="99"/>
    <w:semiHidden/>
    <w:unhideWhenUsed/>
    <w:rsid w:val="00A22665"/>
    <w:rPr>
      <w:vertAlign w:val="superscript"/>
    </w:rPr>
  </w:style>
  <w:style w:type="character" w:customStyle="1" w:styleId="10">
    <w:name w:val="Заголовок 1 Знак"/>
    <w:basedOn w:val="a0"/>
    <w:link w:val="1"/>
    <w:uiPriority w:val="9"/>
    <w:rsid w:val="00A22665"/>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22665"/>
    <w:rPr>
      <w:rFonts w:asciiTheme="majorHAnsi" w:eastAsiaTheme="majorEastAsia" w:hAnsiTheme="majorHAnsi" w:cstheme="majorBidi"/>
      <w:color w:val="365F91" w:themeColor="accent1" w:themeShade="BF"/>
      <w:sz w:val="26"/>
      <w:szCs w:val="26"/>
    </w:rPr>
  </w:style>
  <w:style w:type="paragraph" w:styleId="a8">
    <w:name w:val="List Paragraph"/>
    <w:basedOn w:val="a"/>
    <w:uiPriority w:val="34"/>
    <w:qFormat/>
    <w:rsid w:val="00A22665"/>
    <w:pPr>
      <w:spacing w:after="160" w:line="259" w:lineRule="auto"/>
      <w:ind w:left="720"/>
      <w:contextualSpacing/>
    </w:pPr>
  </w:style>
  <w:style w:type="character" w:styleId="a9">
    <w:name w:val="Hyperlink"/>
    <w:basedOn w:val="a0"/>
    <w:uiPriority w:val="99"/>
    <w:unhideWhenUsed/>
    <w:rsid w:val="00A22665"/>
    <w:rPr>
      <w:color w:val="0000FF" w:themeColor="hyperlink"/>
      <w:u w:val="single"/>
    </w:rPr>
  </w:style>
  <w:style w:type="table" w:styleId="aa">
    <w:name w:val="Table Grid"/>
    <w:basedOn w:val="a1"/>
    <w:uiPriority w:val="39"/>
    <w:rsid w:val="00A22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Базовый"/>
    <w:rsid w:val="00A22665"/>
    <w:pPr>
      <w:suppressAutoHyphens/>
    </w:pPr>
    <w:rPr>
      <w:rFonts w:ascii="Calibri" w:eastAsia="Lucida Sans Unicode" w:hAnsi="Calibri" w:cs="Calibri"/>
    </w:rPr>
  </w:style>
  <w:style w:type="paragraph" w:customStyle="1" w:styleId="ac">
    <w:name w:val="Текст в заданном формате"/>
    <w:basedOn w:val="ab"/>
    <w:rsid w:val="00A22665"/>
    <w:pPr>
      <w:widowControl w:val="0"/>
      <w:spacing w:after="0"/>
    </w:pPr>
    <w:rPr>
      <w:rFonts w:ascii="Times New Roman" w:eastAsia="Times New Roman" w:hAnsi="Times New Roman" w:cs="Times New Roman"/>
      <w:sz w:val="20"/>
      <w:szCs w:val="20"/>
      <w:lang w:eastAsia="zh-CN" w:bidi="hi-IN"/>
    </w:rPr>
  </w:style>
  <w:style w:type="paragraph" w:styleId="ad">
    <w:name w:val="header"/>
    <w:basedOn w:val="a"/>
    <w:link w:val="ae"/>
    <w:uiPriority w:val="99"/>
    <w:unhideWhenUsed/>
    <w:rsid w:val="00411DE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1DEC"/>
  </w:style>
  <w:style w:type="paragraph" w:styleId="af">
    <w:name w:val="footer"/>
    <w:basedOn w:val="a"/>
    <w:link w:val="af0"/>
    <w:uiPriority w:val="99"/>
    <w:unhideWhenUsed/>
    <w:rsid w:val="00411DE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1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7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2.xml"/><Relationship Id="rId39"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hart" Target="charts/chart9.xml"/><Relationship Id="rId34" Type="http://schemas.openxmlformats.org/officeDocument/2006/relationships/chart" Target="charts/chart1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hyperlink" Target="http://moex.com/a2432" TargetMode="External"/><Relationship Id="rId33" Type="http://schemas.openxmlformats.org/officeDocument/2006/relationships/chart" Target="charts/chart18.xml"/><Relationship Id="rId38" Type="http://schemas.openxmlformats.org/officeDocument/2006/relationships/hyperlink" Target="http://www.actuarialboard.ru" TargetMode="Externa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image" Target="media/image4.jpeg"/><Relationship Id="rId29" Type="http://schemas.openxmlformats.org/officeDocument/2006/relationships/hyperlink" Target="http://moex.com/a139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jpeg"/><Relationship Id="rId32" Type="http://schemas.openxmlformats.org/officeDocument/2006/relationships/chart" Target="charts/chart17.xml"/><Relationship Id="rId37" Type="http://schemas.openxmlformats.org/officeDocument/2006/relationships/hyperlink" Target="http://www.actuary.ru"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chart" Target="charts/chart11.xml"/><Relationship Id="rId28" Type="http://schemas.openxmlformats.org/officeDocument/2006/relationships/chart" Target="charts/chart14.xml"/><Relationship Id="rId36" Type="http://schemas.openxmlformats.org/officeDocument/2006/relationships/chart" Target="charts/chart21.xml"/><Relationship Id="rId10" Type="http://schemas.openxmlformats.org/officeDocument/2006/relationships/image" Target="media/image2.jpeg"/><Relationship Id="rId19" Type="http://schemas.openxmlformats.org/officeDocument/2006/relationships/chart" Target="charts/chart8.xml"/><Relationship Id="rId31" Type="http://schemas.openxmlformats.org/officeDocument/2006/relationships/chart" Target="charts/chart1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3.xml"/><Relationship Id="rId22" Type="http://schemas.openxmlformats.org/officeDocument/2006/relationships/chart" Target="charts/chart10.xml"/><Relationship Id="rId27" Type="http://schemas.openxmlformats.org/officeDocument/2006/relationships/chart" Target="charts/chart13.xml"/><Relationship Id="rId30" Type="http://schemas.openxmlformats.org/officeDocument/2006/relationships/chart" Target="charts/chart15.xml"/><Relationship Id="rId35" Type="http://schemas.openxmlformats.org/officeDocument/2006/relationships/chart" Target="charts/chart20.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khmelev\Desktop\&#1056;&#1072;&#1073;&#1086;&#1095;&#1072;&#1103;\&#1057;&#1087;&#1077;&#1094;&#1079;&#1072;&#1076;&#1072;&#1085;&#1080;&#1103;\&#1044;&#1080;&#1085;&#1072;&#1084;&#1080;&#1082;&#1072;%20&#1076;&#1086;&#1093;&#1086;&#1076;&#1085;&#1086;&#1089;&#1090;&#1080;%20&#1053;&#1055;&#1060;\&#1043;&#1088;&#1072;&#1092;&#1080;&#1082;&#1080;11.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smetanin\Downloads\trading-volumes-2015-ju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1076;&#1083;&#1103;%20&#1051;&#1100;&#1074;&#1072;\&#1040;&#1082;&#1094;&#1080;&#1080;.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G:\&#1076;&#1083;&#1103;%20&#1051;&#1100;&#1074;&#1072;\&#1040;&#1082;&#1094;&#1080;&#1080;.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1076;&#1083;&#1103;%20&#1051;&#1100;&#1074;&#1072;\&#1054;&#1073;&#1083;&#1080;&#1075;&#1072;&#1094;&#1080;&#1080;.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1076;&#1083;&#1103;%20&#1051;&#1100;&#1074;&#1072;\&#1054;&#1073;&#1083;&#1080;&#1075;&#1072;&#1094;&#1080;&#1080;.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1076;&#1083;&#1103;%20&#1051;&#1100;&#1074;&#1072;\&#1054;&#1073;&#1083;&#1080;&#1075;&#1072;&#1094;&#1080;&#1080;.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1076;&#1083;&#1103;%20&#1051;&#1100;&#1074;&#1072;\&#1041;&#1072;&#1085;&#1082;&#1080;.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1076;&#1083;&#1103;%20&#1051;&#1100;&#1074;&#1072;\&#1041;&#1072;&#1085;&#1082;&#1080;.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E:\&#1076;&#1083;&#1103;%20&#1051;&#1100;&#1074;&#1072;\&#1041;&#1072;&#1085;&#1082;&#1080;.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akhmelev\Desktop\&#1056;&#1072;&#1073;&#1086;&#1095;&#1072;&#1103;\&#1057;&#1087;&#1077;&#1094;&#1079;&#1072;&#1076;&#1072;&#1085;&#1080;&#1103;\&#1044;&#1080;&#1085;&#1072;&#1084;&#1080;&#1082;&#1072;%20&#1076;&#1086;&#1093;&#1086;&#1076;&#1085;&#1086;&#1089;&#1090;&#1080;%20&#1053;&#1055;&#1060;\&#1043;&#1088;&#1072;&#1092;&#1080;&#1082;&#1080;11.xls"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oleObject" Target="file:///E:\&#1076;&#1083;&#1103;%20&#1051;&#1100;&#1074;&#1072;\&#1041;&#1072;&#1085;&#1082;&#1080;.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1076;&#1083;&#1103;%20&#1051;&#1100;&#1074;&#1072;\&#1041;&#1072;&#1085;&#1082;&#1080;2.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akhmelev\Desktop\&#1056;&#1072;&#1073;&#1086;&#1095;&#1072;&#1103;\&#1052;&#1080;&#1088;&#1086;&#1074;&#1099;&#1077;%20&#1090;&#1077;&#1085;&#1076;&#1077;&#1085;&#1094;&#1080;&#1080;%20&#1080;&#1085;&#1074;&#1077;&#1089;&#1090;&#1080;&#1088;&#1086;&#1074;&#1072;&#1085;&#1080;&#1103;\&#1044;&#1086;&#1088;&#1072;&#1073;&#1086;&#1090;&#1082;&#1072;\&#1056;&#1072;&#1089;&#1087;&#1088;&#1077;&#1076;&#1077;&#1083;&#1077;&#1085;&#1080;&#1077;%20&#1089;&#1090;&#1088;&#1072;&#1085;%20&#1087;&#1086;%20&#1090;&#1080;&#1087;&#1072;&#1084;%20&#1087;&#1077;&#1085;&#1089;&#1080;&#1086;&#1085;&#1085;&#1099;&#1093;%20&#1089;&#1093;&#1077;&#1084;.xls"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khmelev\Desktop\&#1056;&#1072;&#1073;&#1086;&#1095;&#1072;&#1103;\&#1057;&#1087;&#1077;&#1094;&#1079;&#1072;&#1076;&#1072;&#1085;&#1080;&#1103;\&#1057;&#1090;&#1072;&#1090;&#1100;&#1103;%20&#1074;%20&#1078;&#1091;&#1088;&#1085;&#1072;&#1083;\Millimans%20report.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akhmelev\Desktop\&#1056;&#1072;&#1073;&#1086;&#1095;&#1072;&#1103;\&#1057;&#1087;&#1077;&#1094;&#1079;&#1072;&#1076;&#1072;&#1085;&#1080;&#1103;\&#1057;&#1090;&#1072;&#1090;&#1100;&#1103;%20&#1074;%20&#1078;&#1091;&#1088;&#1085;&#1072;&#1083;\Millimans%20report.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khmelev\Desktop\&#1056;&#1072;&#1073;&#1086;&#1095;&#1072;&#1103;\&#1052;&#1080;&#1088;&#1086;&#1074;&#1099;&#1077;%20&#1090;&#1077;&#1085;&#1076;&#1077;&#1085;&#1094;&#1080;&#1080;%20&#1080;&#1085;&#1074;&#1077;&#1089;&#1090;&#1080;&#1088;&#1086;&#1074;&#1072;&#1085;&#1080;&#1103;\&#1050;&#1086;&#1087;&#1080;&#1103;%20&#1043;&#1088;&#1072;&#1092;&#1080;&#1082;&#1080;%20&#1087;&#1086;%20&#1088;&#1077;&#1075;&#1080;&#1086;&#1085;&#1072;&#1084;111.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khmelev\Desktop\&#1056;&#1072;&#1073;&#1086;&#1095;&#1072;&#1103;\&#1052;&#1080;&#1088;&#1086;&#1074;&#1099;&#1077;%20&#1090;&#1077;&#1085;&#1076;&#1077;&#1085;&#1094;&#1080;&#1080;%20&#1080;&#1085;&#1074;&#1077;&#1089;&#1090;&#1080;&#1088;&#1086;&#1074;&#1072;&#1085;&#1080;&#1103;\&#1043;&#1088;&#1072;&#1092;&#1080;&#1082;&#1080;%20&#1087;&#1086;%20&#1088;&#1077;&#1075;&#1080;&#1086;&#1085;&#1072;&#1084;.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akhmelev\Desktop\&#1056;&#1072;&#1073;&#1086;&#1095;&#1072;&#1103;\&#1057;&#1087;&#1077;&#1094;&#1079;&#1072;&#1076;&#1072;&#1085;&#1080;&#1103;\&#1057;&#1090;&#1072;&#1090;&#1100;&#1103;%20&#1074;%20&#1078;&#1091;&#1088;&#1085;&#1072;&#1083;\Millimans%20report.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a:solidFill>
                <a:srgbClr val="006C4E"/>
              </a:solidFill>
            </a:ln>
          </c:spPr>
          <c:marker>
            <c:symbol val="none"/>
          </c:marker>
          <c:trendline>
            <c:spPr>
              <a:ln w="25400"/>
            </c:spPr>
            <c:trendlineType val="linear"/>
            <c:dispRSqr val="0"/>
            <c:dispEq val="0"/>
          </c:trendline>
          <c:cat>
            <c:numRef>
              <c:f>OECD!$A$37:$A$64</c:f>
              <c:numCache>
                <c:formatCode>General</c:formatCode>
                <c:ptCount val="28"/>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numCache>
            </c:numRef>
          </c:cat>
          <c:val>
            <c:numRef>
              <c:f>OECD!$B$37:$B$64</c:f>
              <c:numCache>
                <c:formatCode>0.00%</c:formatCode>
                <c:ptCount val="28"/>
                <c:pt idx="0">
                  <c:v>7.4999999999999997E-2</c:v>
                </c:pt>
                <c:pt idx="1">
                  <c:v>0.02</c:v>
                </c:pt>
                <c:pt idx="2">
                  <c:v>0.115</c:v>
                </c:pt>
                <c:pt idx="3">
                  <c:v>0.05</c:v>
                </c:pt>
                <c:pt idx="4">
                  <c:v>-0.03</c:v>
                </c:pt>
                <c:pt idx="5">
                  <c:v>0.08</c:v>
                </c:pt>
                <c:pt idx="6">
                  <c:v>7.0000000000000007E-2</c:v>
                </c:pt>
                <c:pt idx="7">
                  <c:v>0.18</c:v>
                </c:pt>
                <c:pt idx="8">
                  <c:v>-5.5E-2</c:v>
                </c:pt>
                <c:pt idx="9">
                  <c:v>0.12</c:v>
                </c:pt>
                <c:pt idx="10">
                  <c:v>0.125</c:v>
                </c:pt>
                <c:pt idx="11">
                  <c:v>0.13</c:v>
                </c:pt>
                <c:pt idx="12">
                  <c:v>0.10199999999999999</c:v>
                </c:pt>
                <c:pt idx="13">
                  <c:v>0.14000000000000001</c:v>
                </c:pt>
                <c:pt idx="14">
                  <c:v>1E-3</c:v>
                </c:pt>
                <c:pt idx="15">
                  <c:v>-7.4999999999999997E-2</c:v>
                </c:pt>
                <c:pt idx="16">
                  <c:v>-0.12</c:v>
                </c:pt>
                <c:pt idx="17">
                  <c:v>0.08</c:v>
                </c:pt>
                <c:pt idx="18">
                  <c:v>8.1000000000000003E-2</c:v>
                </c:pt>
                <c:pt idx="19">
                  <c:v>0.13</c:v>
                </c:pt>
                <c:pt idx="20">
                  <c:v>6.1386138613861337E-2</c:v>
                </c:pt>
                <c:pt idx="21">
                  <c:v>8.1476391479336028E-3</c:v>
                </c:pt>
                <c:pt idx="22">
                  <c:v>-0.17108102805571904</c:v>
                </c:pt>
                <c:pt idx="23">
                  <c:v>0.15122144199386811</c:v>
                </c:pt>
                <c:pt idx="24">
                  <c:v>5.660747571863041E-2</c:v>
                </c:pt>
                <c:pt idx="25">
                  <c:v>-8.5954287946864837E-3</c:v>
                </c:pt>
                <c:pt idx="26">
                  <c:v>7.3858114674441144E-2</c:v>
                </c:pt>
                <c:pt idx="27">
                  <c:v>3.0481809242871093E-2</c:v>
                </c:pt>
              </c:numCache>
            </c:numRef>
          </c:val>
          <c:smooth val="0"/>
        </c:ser>
        <c:dLbls>
          <c:showLegendKey val="0"/>
          <c:showVal val="0"/>
          <c:showCatName val="0"/>
          <c:showSerName val="0"/>
          <c:showPercent val="0"/>
          <c:showBubbleSize val="0"/>
        </c:dLbls>
        <c:marker val="1"/>
        <c:smooth val="0"/>
        <c:axId val="239977984"/>
        <c:axId val="239979520"/>
      </c:lineChart>
      <c:catAx>
        <c:axId val="239977984"/>
        <c:scaling>
          <c:orientation val="minMax"/>
        </c:scaling>
        <c:delete val="0"/>
        <c:axPos val="b"/>
        <c:numFmt formatCode="General" sourceLinked="1"/>
        <c:majorTickMark val="out"/>
        <c:minorTickMark val="none"/>
        <c:tickLblPos val="nextTo"/>
        <c:txPr>
          <a:bodyPr rot="-5400000" vert="horz"/>
          <a:lstStyle/>
          <a:p>
            <a:pPr>
              <a:defRPr sz="1000" b="0" i="0" u="none" strike="noStrike" baseline="0">
                <a:solidFill>
                  <a:srgbClr val="000000"/>
                </a:solidFill>
                <a:latin typeface="Calibri"/>
                <a:ea typeface="Calibri"/>
                <a:cs typeface="Calibri"/>
              </a:defRPr>
            </a:pPr>
            <a:endParaRPr lang="ru-RU"/>
          </a:p>
        </c:txPr>
        <c:crossAx val="239979520"/>
        <c:crosses val="autoZero"/>
        <c:auto val="1"/>
        <c:lblAlgn val="ctr"/>
        <c:lblOffset val="100"/>
        <c:noMultiLvlLbl val="0"/>
      </c:catAx>
      <c:valAx>
        <c:axId val="239979520"/>
        <c:scaling>
          <c:orientation val="minMax"/>
        </c:scaling>
        <c:delete val="0"/>
        <c:axPos val="l"/>
        <c:majorGridlines>
          <c:spPr>
            <a:ln>
              <a:solidFill>
                <a:schemeClr val="bg1">
                  <a:lumMod val="75000"/>
                </a:schemeClr>
              </a:solidFill>
              <a:prstDash val="dash"/>
            </a:ln>
          </c:spPr>
        </c:majorGridlines>
        <c:numFmt formatCode="0%"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239977984"/>
        <c:crosses val="autoZero"/>
        <c:crossBetween val="between"/>
      </c:valAx>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txPr>
              <a:bodyPr/>
              <a:lstStyle/>
              <a:p>
                <a:pPr>
                  <a:defRPr sz="900"/>
                </a:pPr>
                <a:endParaRPr lang="ru-RU"/>
              </a:p>
            </c:txPr>
            <c:showLegendKey val="0"/>
            <c:showVal val="1"/>
            <c:showCatName val="0"/>
            <c:showSerName val="0"/>
            <c:showPercent val="0"/>
            <c:showBubbleSize val="0"/>
            <c:showLeaderLines val="0"/>
          </c:dLbls>
          <c:cat>
            <c:strRef>
              <c:f>'Не акц обл'!$A$1:$A$17</c:f>
              <c:strCache>
                <c:ptCount val="17"/>
                <c:pt idx="0">
                  <c:v>США</c:v>
                </c:pt>
                <c:pt idx="1">
                  <c:v>Финляндия</c:v>
                </c:pt>
                <c:pt idx="2">
                  <c:v>Италия</c:v>
                </c:pt>
                <c:pt idx="3">
                  <c:v>Индонезия</c:v>
                </c:pt>
                <c:pt idx="4">
                  <c:v>Латвия</c:v>
                </c:pt>
                <c:pt idx="5">
                  <c:v>Португалия</c:v>
                </c:pt>
                <c:pt idx="6">
                  <c:v>Кения</c:v>
                </c:pt>
                <c:pt idx="7">
                  <c:v>Швейцария</c:v>
                </c:pt>
                <c:pt idx="8">
                  <c:v>Украина</c:v>
                </c:pt>
                <c:pt idx="9">
                  <c:v>Австралия</c:v>
                </c:pt>
                <c:pt idx="10">
                  <c:v>Германия</c:v>
                </c:pt>
                <c:pt idx="11">
                  <c:v>Великобритания</c:v>
                </c:pt>
                <c:pt idx="12">
                  <c:v>Япония</c:v>
                </c:pt>
                <c:pt idx="13">
                  <c:v>Мальта</c:v>
                </c:pt>
                <c:pt idx="14">
                  <c:v>Индия</c:v>
                </c:pt>
                <c:pt idx="15">
                  <c:v>ЮАР</c:v>
                </c:pt>
                <c:pt idx="16">
                  <c:v>Ю.Корея</c:v>
                </c:pt>
              </c:strCache>
            </c:strRef>
          </c:cat>
          <c:val>
            <c:numRef>
              <c:f>'Не акц обл'!$B$1:$B$17</c:f>
              <c:numCache>
                <c:formatCode>0.0</c:formatCode>
                <c:ptCount val="17"/>
                <c:pt idx="0">
                  <c:v>29.756805008871424</c:v>
                </c:pt>
                <c:pt idx="1">
                  <c:v>30.709013643480205</c:v>
                </c:pt>
                <c:pt idx="2">
                  <c:v>32.844377454588965</c:v>
                </c:pt>
                <c:pt idx="3">
                  <c:v>32.946113577203832</c:v>
                </c:pt>
                <c:pt idx="4">
                  <c:v>32.992868615123612</c:v>
                </c:pt>
                <c:pt idx="5">
                  <c:v>35.72089824833003</c:v>
                </c:pt>
                <c:pt idx="6">
                  <c:v>36.121742299981776</c:v>
                </c:pt>
                <c:pt idx="7">
                  <c:v>37.136659139902449</c:v>
                </c:pt>
                <c:pt idx="8">
                  <c:v>41.589155670920761</c:v>
                </c:pt>
                <c:pt idx="9">
                  <c:v>42.453886915769431</c:v>
                </c:pt>
                <c:pt idx="10">
                  <c:v>43.776865012383482</c:v>
                </c:pt>
                <c:pt idx="11">
                  <c:v>45.202037916046379</c:v>
                </c:pt>
                <c:pt idx="12">
                  <c:v>51.646256989297939</c:v>
                </c:pt>
                <c:pt idx="13">
                  <c:v>54.763613089016381</c:v>
                </c:pt>
                <c:pt idx="14">
                  <c:v>58.150031381622071</c:v>
                </c:pt>
                <c:pt idx="15">
                  <c:v>67.512321205616274</c:v>
                </c:pt>
                <c:pt idx="16">
                  <c:v>91.035653243645868</c:v>
                </c:pt>
              </c:numCache>
            </c:numRef>
          </c:val>
        </c:ser>
        <c:dLbls>
          <c:showLegendKey val="0"/>
          <c:showVal val="0"/>
          <c:showCatName val="0"/>
          <c:showSerName val="0"/>
          <c:showPercent val="0"/>
          <c:showBubbleSize val="0"/>
        </c:dLbls>
        <c:gapWidth val="150"/>
        <c:axId val="169898368"/>
        <c:axId val="169899904"/>
      </c:barChart>
      <c:catAx>
        <c:axId val="169898368"/>
        <c:scaling>
          <c:orientation val="minMax"/>
        </c:scaling>
        <c:delete val="0"/>
        <c:axPos val="l"/>
        <c:majorTickMark val="out"/>
        <c:minorTickMark val="none"/>
        <c:tickLblPos val="nextTo"/>
        <c:txPr>
          <a:bodyPr/>
          <a:lstStyle/>
          <a:p>
            <a:pPr>
              <a:defRPr sz="900"/>
            </a:pPr>
            <a:endParaRPr lang="ru-RU"/>
          </a:p>
        </c:txPr>
        <c:crossAx val="169899904"/>
        <c:crosses val="autoZero"/>
        <c:auto val="1"/>
        <c:lblAlgn val="ctr"/>
        <c:lblOffset val="100"/>
        <c:noMultiLvlLbl val="0"/>
      </c:catAx>
      <c:valAx>
        <c:axId val="169899904"/>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txPr>
          <a:bodyPr/>
          <a:lstStyle/>
          <a:p>
            <a:pPr>
              <a:defRPr sz="900"/>
            </a:pPr>
            <a:endParaRPr lang="ru-RU"/>
          </a:p>
        </c:txPr>
        <c:crossAx val="169898368"/>
        <c:crosses val="autoZero"/>
        <c:crossBetween val="between"/>
      </c:valAx>
    </c:plotArea>
    <c:plotVisOnly val="1"/>
    <c:dispBlanksAs val="gap"/>
    <c:showDLblsOverMax val="0"/>
  </c:chart>
  <c:spPr>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marker>
            <c:symbol val="none"/>
          </c:marker>
          <c:cat>
            <c:strRef>
              <c:f>'[trading-volumes-2015-jul.xlsx]объем'!$CJ$3:$DD$3</c:f>
              <c:strCache>
                <c:ptCount val="21"/>
                <c:pt idx="0">
                  <c:v>IIQ2010</c:v>
                </c:pt>
                <c:pt idx="1">
                  <c:v>IIIQ2010</c:v>
                </c:pt>
                <c:pt idx="2">
                  <c:v>IVQ2010</c:v>
                </c:pt>
                <c:pt idx="3">
                  <c:v>IQ2011</c:v>
                </c:pt>
                <c:pt idx="4">
                  <c:v>IIQ2011</c:v>
                </c:pt>
                <c:pt idx="5">
                  <c:v>IIIQ2011</c:v>
                </c:pt>
                <c:pt idx="6">
                  <c:v>IVQ2011</c:v>
                </c:pt>
                <c:pt idx="7">
                  <c:v>IQ2012</c:v>
                </c:pt>
                <c:pt idx="8">
                  <c:v>IIQ2012</c:v>
                </c:pt>
                <c:pt idx="9">
                  <c:v>IIIQ2012</c:v>
                </c:pt>
                <c:pt idx="10">
                  <c:v>IVQ2012</c:v>
                </c:pt>
                <c:pt idx="11">
                  <c:v>IQ2013</c:v>
                </c:pt>
                <c:pt idx="12">
                  <c:v>IIQ2013</c:v>
                </c:pt>
                <c:pt idx="13">
                  <c:v>IIIQ2013</c:v>
                </c:pt>
                <c:pt idx="14">
                  <c:v>IVQ2013</c:v>
                </c:pt>
                <c:pt idx="15">
                  <c:v>IQ2014</c:v>
                </c:pt>
                <c:pt idx="16">
                  <c:v>IIQ2014</c:v>
                </c:pt>
                <c:pt idx="17">
                  <c:v>IIIQ2014</c:v>
                </c:pt>
                <c:pt idx="18">
                  <c:v>IVQ2014</c:v>
                </c:pt>
                <c:pt idx="19">
                  <c:v>IQ2015</c:v>
                </c:pt>
                <c:pt idx="20">
                  <c:v>IIQ2015</c:v>
                </c:pt>
              </c:strCache>
            </c:strRef>
          </c:cat>
          <c:val>
            <c:numRef>
              <c:f>'[trading-volumes-2015-jul.xlsx]объем'!$CJ$5:$DD$5</c:f>
              <c:numCache>
                <c:formatCode>#,##0;\(#,##0\)</c:formatCode>
                <c:ptCount val="21"/>
                <c:pt idx="0">
                  <c:v>7136.9753829506408</c:v>
                </c:pt>
                <c:pt idx="1">
                  <c:v>6820.9509870081147</c:v>
                </c:pt>
                <c:pt idx="2">
                  <c:v>7003.3994576780169</c:v>
                </c:pt>
                <c:pt idx="3">
                  <c:v>7635.7797687885668</c:v>
                </c:pt>
                <c:pt idx="4">
                  <c:v>7395.4360634895584</c:v>
                </c:pt>
                <c:pt idx="5">
                  <c:v>8071.8718245671307</c:v>
                </c:pt>
                <c:pt idx="6">
                  <c:v>7548.8599620467703</c:v>
                </c:pt>
                <c:pt idx="7">
                  <c:v>6397.2429905092486</c:v>
                </c:pt>
                <c:pt idx="8">
                  <c:v>5354.8961446486064</c:v>
                </c:pt>
                <c:pt idx="9">
                  <c:v>5839.11559089394</c:v>
                </c:pt>
                <c:pt idx="10">
                  <c:v>6540.8333412286538</c:v>
                </c:pt>
                <c:pt idx="11">
                  <c:v>5932.2777513547189</c:v>
                </c:pt>
                <c:pt idx="12">
                  <c:v>6299.5662999108163</c:v>
                </c:pt>
                <c:pt idx="13">
                  <c:v>5549.8921241943417</c:v>
                </c:pt>
                <c:pt idx="14">
                  <c:v>6243.6249420680078</c:v>
                </c:pt>
                <c:pt idx="15">
                  <c:v>5443.1608882236433</c:v>
                </c:pt>
                <c:pt idx="16">
                  <c:v>4809.6343634572004</c:v>
                </c:pt>
                <c:pt idx="17">
                  <c:v>4527.0598424556347</c:v>
                </c:pt>
                <c:pt idx="18">
                  <c:v>6107.516589492705</c:v>
                </c:pt>
                <c:pt idx="19">
                  <c:v>4614.5492857431218</c:v>
                </c:pt>
                <c:pt idx="20">
                  <c:v>4950.9110682381015</c:v>
                </c:pt>
              </c:numCache>
            </c:numRef>
          </c:val>
          <c:smooth val="0"/>
        </c:ser>
        <c:dLbls>
          <c:showLegendKey val="0"/>
          <c:showVal val="0"/>
          <c:showCatName val="0"/>
          <c:showSerName val="0"/>
          <c:showPercent val="0"/>
          <c:showBubbleSize val="0"/>
        </c:dLbls>
        <c:marker val="1"/>
        <c:smooth val="0"/>
        <c:axId val="212796928"/>
        <c:axId val="212798464"/>
      </c:lineChart>
      <c:catAx>
        <c:axId val="212796928"/>
        <c:scaling>
          <c:orientation val="minMax"/>
        </c:scaling>
        <c:delete val="0"/>
        <c:axPos val="b"/>
        <c:majorTickMark val="out"/>
        <c:minorTickMark val="none"/>
        <c:tickLblPos val="nextTo"/>
        <c:txPr>
          <a:bodyPr/>
          <a:lstStyle/>
          <a:p>
            <a:pPr>
              <a:defRPr sz="900"/>
            </a:pPr>
            <a:endParaRPr lang="ru-RU"/>
          </a:p>
        </c:txPr>
        <c:crossAx val="212798464"/>
        <c:crosses val="autoZero"/>
        <c:auto val="1"/>
        <c:lblAlgn val="ctr"/>
        <c:lblOffset val="100"/>
        <c:noMultiLvlLbl val="0"/>
      </c:catAx>
      <c:valAx>
        <c:axId val="212798464"/>
        <c:scaling>
          <c:orientation val="minMax"/>
          <c:min val="4000"/>
        </c:scaling>
        <c:delete val="0"/>
        <c:axPos val="l"/>
        <c:majorGridlines/>
        <c:numFmt formatCode="#,##0;\(#,##0\)" sourceLinked="1"/>
        <c:majorTickMark val="out"/>
        <c:minorTickMark val="none"/>
        <c:tickLblPos val="nextTo"/>
        <c:txPr>
          <a:bodyPr/>
          <a:lstStyle/>
          <a:p>
            <a:pPr>
              <a:defRPr sz="900"/>
            </a:pPr>
            <a:endParaRPr lang="ru-RU"/>
          </a:p>
        </c:txPr>
        <c:crossAx val="212796928"/>
        <c:crosses val="autoZero"/>
        <c:crossBetween val="between"/>
      </c:valAx>
    </c:plotArea>
    <c:plotVisOnly val="1"/>
    <c:dispBlanksAs val="zero"/>
    <c:showDLblsOverMax val="0"/>
  </c:chart>
  <c:spPr>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Beta</c:v>
          </c:tx>
          <c:spPr>
            <a:ln>
              <a:solidFill>
                <a:srgbClr val="0070C0"/>
              </a:solidFill>
            </a:ln>
          </c:spPr>
          <c:marker>
            <c:symbol val="circle"/>
            <c:size val="3"/>
          </c:marker>
          <c:cat>
            <c:multiLvlStrRef>
              <c:f>Бета!$A$4:$B$18</c:f>
              <c:multiLvlStrCache>
                <c:ptCount val="1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lvl>
                <c:lvl>
                  <c:pt idx="0">
                    <c:v>2014</c:v>
                  </c:pt>
                  <c:pt idx="1">
                    <c:v>2014</c:v>
                  </c:pt>
                  <c:pt idx="2">
                    <c:v>2014</c:v>
                  </c:pt>
                  <c:pt idx="3">
                    <c:v>2014</c:v>
                  </c:pt>
                  <c:pt idx="4">
                    <c:v>2014</c:v>
                  </c:pt>
                  <c:pt idx="5">
                    <c:v>2014</c:v>
                  </c:pt>
                  <c:pt idx="6">
                    <c:v>2014</c:v>
                  </c:pt>
                  <c:pt idx="7">
                    <c:v>2014</c:v>
                  </c:pt>
                  <c:pt idx="8">
                    <c:v>2014</c:v>
                  </c:pt>
                  <c:pt idx="9">
                    <c:v>2014</c:v>
                  </c:pt>
                  <c:pt idx="10">
                    <c:v>2014</c:v>
                  </c:pt>
                  <c:pt idx="11">
                    <c:v>2014</c:v>
                  </c:pt>
                  <c:pt idx="12">
                    <c:v>2015</c:v>
                  </c:pt>
                  <c:pt idx="13">
                    <c:v>2015</c:v>
                  </c:pt>
                  <c:pt idx="14">
                    <c:v>2015</c:v>
                  </c:pt>
                </c:lvl>
              </c:multiLvlStrCache>
            </c:multiLvlStrRef>
          </c:cat>
          <c:val>
            <c:numRef>
              <c:f>Бета!$C$4:$C$18</c:f>
              <c:numCache>
                <c:formatCode>General</c:formatCode>
                <c:ptCount val="15"/>
                <c:pt idx="0">
                  <c:v>0.24797662167894696</c:v>
                </c:pt>
                <c:pt idx="1">
                  <c:v>0.40036859417789011</c:v>
                </c:pt>
                <c:pt idx="2">
                  <c:v>0.75173658104095686</c:v>
                </c:pt>
                <c:pt idx="3">
                  <c:v>0.53685407760314119</c:v>
                </c:pt>
                <c:pt idx="4">
                  <c:v>0.46633494848865498</c:v>
                </c:pt>
                <c:pt idx="5">
                  <c:v>0.35192057793919612</c:v>
                </c:pt>
                <c:pt idx="6">
                  <c:v>0.47363827105771805</c:v>
                </c:pt>
                <c:pt idx="7">
                  <c:v>0.433705129637385</c:v>
                </c:pt>
                <c:pt idx="8">
                  <c:v>0.51973440287719308</c:v>
                </c:pt>
                <c:pt idx="9">
                  <c:v>0.53688633321788803</c:v>
                </c:pt>
                <c:pt idx="10">
                  <c:v>0.14172736102260503</c:v>
                </c:pt>
                <c:pt idx="11">
                  <c:v>0.31275567942439397</c:v>
                </c:pt>
                <c:pt idx="12">
                  <c:v>0.34625105000110395</c:v>
                </c:pt>
                <c:pt idx="13">
                  <c:v>0.35739530767635902</c:v>
                </c:pt>
                <c:pt idx="14">
                  <c:v>0.49993001550436406</c:v>
                </c:pt>
              </c:numCache>
            </c:numRef>
          </c:val>
          <c:smooth val="1"/>
        </c:ser>
        <c:dLbls>
          <c:showLegendKey val="0"/>
          <c:showVal val="0"/>
          <c:showCatName val="0"/>
          <c:showSerName val="0"/>
          <c:showPercent val="0"/>
          <c:showBubbleSize val="0"/>
        </c:dLbls>
        <c:marker val="1"/>
        <c:smooth val="0"/>
        <c:axId val="212836736"/>
        <c:axId val="212838656"/>
      </c:lineChart>
      <c:lineChart>
        <c:grouping val="standard"/>
        <c:varyColors val="0"/>
        <c:ser>
          <c:idx val="1"/>
          <c:order val="1"/>
          <c:tx>
            <c:v>ММВБ (средн. мес.)</c:v>
          </c:tx>
          <c:spPr>
            <a:ln>
              <a:solidFill>
                <a:srgbClr val="00B0F0"/>
              </a:solidFill>
            </a:ln>
          </c:spPr>
          <c:marker>
            <c:symbol val="circle"/>
            <c:size val="3"/>
            <c:spPr>
              <a:solidFill>
                <a:srgbClr val="00B0F0"/>
              </a:solidFill>
              <a:ln>
                <a:solidFill>
                  <a:srgbClr val="00B0F0"/>
                </a:solidFill>
              </a:ln>
            </c:spPr>
          </c:marker>
          <c:cat>
            <c:multiLvlStrRef>
              <c:f>Бета!$A$4:$B$18</c:f>
              <c:multiLvlStrCache>
                <c:ptCount val="1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lvl>
                <c:lvl>
                  <c:pt idx="0">
                    <c:v>2014</c:v>
                  </c:pt>
                  <c:pt idx="1">
                    <c:v>2014</c:v>
                  </c:pt>
                  <c:pt idx="2">
                    <c:v>2014</c:v>
                  </c:pt>
                  <c:pt idx="3">
                    <c:v>2014</c:v>
                  </c:pt>
                  <c:pt idx="4">
                    <c:v>2014</c:v>
                  </c:pt>
                  <c:pt idx="5">
                    <c:v>2014</c:v>
                  </c:pt>
                  <c:pt idx="6">
                    <c:v>2014</c:v>
                  </c:pt>
                  <c:pt idx="7">
                    <c:v>2014</c:v>
                  </c:pt>
                  <c:pt idx="8">
                    <c:v>2014</c:v>
                  </c:pt>
                  <c:pt idx="9">
                    <c:v>2014</c:v>
                  </c:pt>
                  <c:pt idx="10">
                    <c:v>2014</c:v>
                  </c:pt>
                  <c:pt idx="11">
                    <c:v>2014</c:v>
                  </c:pt>
                  <c:pt idx="12">
                    <c:v>2015</c:v>
                  </c:pt>
                  <c:pt idx="13">
                    <c:v>2015</c:v>
                  </c:pt>
                  <c:pt idx="14">
                    <c:v>2015</c:v>
                  </c:pt>
                </c:lvl>
              </c:multiLvlStrCache>
            </c:multiLvlStrRef>
          </c:cat>
          <c:val>
            <c:numRef>
              <c:f>Бета!$D$4:$D$18</c:f>
              <c:numCache>
                <c:formatCode>General</c:formatCode>
                <c:ptCount val="15"/>
                <c:pt idx="0">
                  <c:v>1478.06105263158</c:v>
                </c:pt>
                <c:pt idx="1">
                  <c:v>1475.6195</c:v>
                </c:pt>
                <c:pt idx="2">
                  <c:v>1316.31</c:v>
                </c:pt>
                <c:pt idx="3">
                  <c:v>1338.3463636363599</c:v>
                </c:pt>
                <c:pt idx="4">
                  <c:v>1395.075</c:v>
                </c:pt>
                <c:pt idx="5">
                  <c:v>1485.0552631578901</c:v>
                </c:pt>
                <c:pt idx="6">
                  <c:v>1448.8991304347799</c:v>
                </c:pt>
                <c:pt idx="7">
                  <c:v>1404.1885714285702</c:v>
                </c:pt>
                <c:pt idx="8">
                  <c:v>1441.7504545454499</c:v>
                </c:pt>
                <c:pt idx="9">
                  <c:v>1395.1791304347798</c:v>
                </c:pt>
                <c:pt idx="10">
                  <c:v>1515.47052631579</c:v>
                </c:pt>
                <c:pt idx="11">
                  <c:v>1469.9931818181799</c:v>
                </c:pt>
                <c:pt idx="12">
                  <c:v>1585.2966666666703</c:v>
                </c:pt>
                <c:pt idx="13">
                  <c:v>1753.4394736842103</c:v>
                </c:pt>
                <c:pt idx="14">
                  <c:v>1656.5985714285703</c:v>
                </c:pt>
              </c:numCache>
            </c:numRef>
          </c:val>
          <c:smooth val="1"/>
        </c:ser>
        <c:dLbls>
          <c:showLegendKey val="0"/>
          <c:showVal val="0"/>
          <c:showCatName val="0"/>
          <c:showSerName val="0"/>
          <c:showPercent val="0"/>
          <c:showBubbleSize val="0"/>
        </c:dLbls>
        <c:marker val="1"/>
        <c:smooth val="0"/>
        <c:axId val="212841984"/>
        <c:axId val="212840448"/>
      </c:lineChart>
      <c:catAx>
        <c:axId val="212836736"/>
        <c:scaling>
          <c:orientation val="minMax"/>
        </c:scaling>
        <c:delete val="0"/>
        <c:axPos val="b"/>
        <c:majorGridlines>
          <c:spPr>
            <a:ln>
              <a:solidFill>
                <a:schemeClr val="tx2">
                  <a:lumMod val="20000"/>
                  <a:lumOff val="80000"/>
                </a:schemeClr>
              </a:solidFill>
            </a:ln>
          </c:spPr>
        </c:majorGridlines>
        <c:numFmt formatCode="General" sourceLinked="1"/>
        <c:majorTickMark val="none"/>
        <c:minorTickMark val="none"/>
        <c:tickLblPos val="nextTo"/>
        <c:txPr>
          <a:bodyPr rot="0" vert="horz" anchor="ctr" anchorCtr="0"/>
          <a:lstStyle/>
          <a:p>
            <a:pPr>
              <a:defRPr/>
            </a:pPr>
            <a:endParaRPr lang="ru-RU"/>
          </a:p>
        </c:txPr>
        <c:crossAx val="212838656"/>
        <c:crosses val="autoZero"/>
        <c:auto val="1"/>
        <c:lblAlgn val="ctr"/>
        <c:lblOffset val="100"/>
        <c:tickLblSkip val="2"/>
        <c:tickMarkSkip val="1"/>
        <c:noMultiLvlLbl val="1"/>
      </c:catAx>
      <c:valAx>
        <c:axId val="212838656"/>
        <c:scaling>
          <c:orientation val="minMax"/>
        </c:scaling>
        <c:delete val="0"/>
        <c:axPos val="l"/>
        <c:majorGridlines>
          <c:spPr>
            <a:ln>
              <a:solidFill>
                <a:schemeClr val="tx2">
                  <a:lumMod val="20000"/>
                  <a:lumOff val="80000"/>
                </a:schemeClr>
              </a:solidFill>
            </a:ln>
          </c:spPr>
        </c:majorGridlines>
        <c:numFmt formatCode="General" sourceLinked="1"/>
        <c:majorTickMark val="none"/>
        <c:minorTickMark val="none"/>
        <c:tickLblPos val="nextTo"/>
        <c:spPr>
          <a:ln w="9525">
            <a:noFill/>
          </a:ln>
        </c:spPr>
        <c:crossAx val="212836736"/>
        <c:crosses val="autoZero"/>
        <c:crossBetween val="midCat"/>
      </c:valAx>
      <c:valAx>
        <c:axId val="212840448"/>
        <c:scaling>
          <c:orientation val="minMax"/>
          <c:max val="1800"/>
          <c:min val="1200"/>
        </c:scaling>
        <c:delete val="0"/>
        <c:axPos val="r"/>
        <c:numFmt formatCode="General" sourceLinked="1"/>
        <c:majorTickMark val="out"/>
        <c:minorTickMark val="none"/>
        <c:tickLblPos val="nextTo"/>
        <c:crossAx val="212841984"/>
        <c:crosses val="max"/>
        <c:crossBetween val="between"/>
      </c:valAx>
      <c:catAx>
        <c:axId val="212841984"/>
        <c:scaling>
          <c:orientation val="minMax"/>
        </c:scaling>
        <c:delete val="1"/>
        <c:axPos val="b"/>
        <c:numFmt formatCode="General" sourceLinked="1"/>
        <c:majorTickMark val="out"/>
        <c:minorTickMark val="none"/>
        <c:tickLblPos val="none"/>
        <c:crossAx val="212840448"/>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VAR(95)</c:v>
          </c:tx>
          <c:spPr>
            <a:ln>
              <a:solidFill>
                <a:srgbClr val="0070C0"/>
              </a:solidFill>
            </a:ln>
          </c:spPr>
          <c:marker>
            <c:symbol val="none"/>
          </c:marker>
          <c:cat>
            <c:multiLvlStrRef>
              <c:f>VAR!$A$2:$B$16</c:f>
              <c:multiLvlStrCache>
                <c:ptCount val="15"/>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lvl>
                <c:lvl>
                  <c:pt idx="0">
                    <c:v>2014</c:v>
                  </c:pt>
                  <c:pt idx="1">
                    <c:v>2014</c:v>
                  </c:pt>
                  <c:pt idx="2">
                    <c:v>2014</c:v>
                  </c:pt>
                  <c:pt idx="3">
                    <c:v>2014</c:v>
                  </c:pt>
                  <c:pt idx="4">
                    <c:v>2014</c:v>
                  </c:pt>
                  <c:pt idx="5">
                    <c:v>2014</c:v>
                  </c:pt>
                  <c:pt idx="6">
                    <c:v>2014</c:v>
                  </c:pt>
                  <c:pt idx="7">
                    <c:v>2014</c:v>
                  </c:pt>
                  <c:pt idx="8">
                    <c:v>2014</c:v>
                  </c:pt>
                  <c:pt idx="9">
                    <c:v>2014</c:v>
                  </c:pt>
                  <c:pt idx="10">
                    <c:v>2014</c:v>
                  </c:pt>
                  <c:pt idx="11">
                    <c:v>2014</c:v>
                  </c:pt>
                  <c:pt idx="12">
                    <c:v>2015</c:v>
                  </c:pt>
                  <c:pt idx="13">
                    <c:v>2015</c:v>
                  </c:pt>
                  <c:pt idx="14">
                    <c:v>2015</c:v>
                  </c:pt>
                </c:lvl>
              </c:multiLvlStrCache>
            </c:multiLvlStrRef>
          </c:cat>
          <c:val>
            <c:numRef>
              <c:f>VAR!$H$2:$H$16</c:f>
              <c:numCache>
                <c:formatCode>General</c:formatCode>
                <c:ptCount val="15"/>
                <c:pt idx="0">
                  <c:v>0.16131467546540801</c:v>
                </c:pt>
                <c:pt idx="1">
                  <c:v>0.22102656887807701</c:v>
                </c:pt>
                <c:pt idx="2">
                  <c:v>0.87158844260241997</c:v>
                </c:pt>
                <c:pt idx="3">
                  <c:v>0.34922974700277598</c:v>
                </c:pt>
                <c:pt idx="4">
                  <c:v>0.33420106202995498</c:v>
                </c:pt>
                <c:pt idx="5">
                  <c:v>0.25459197645446502</c:v>
                </c:pt>
                <c:pt idx="6">
                  <c:v>0.35211793047585999</c:v>
                </c:pt>
                <c:pt idx="7">
                  <c:v>0.30164903819758898</c:v>
                </c:pt>
                <c:pt idx="8">
                  <c:v>0.32200149712496401</c:v>
                </c:pt>
                <c:pt idx="9">
                  <c:v>0.33287937962196901</c:v>
                </c:pt>
                <c:pt idx="10">
                  <c:v>0.21112579700332301</c:v>
                </c:pt>
                <c:pt idx="11">
                  <c:v>0.59290930727512703</c:v>
                </c:pt>
                <c:pt idx="12">
                  <c:v>0.49437164478964701</c:v>
                </c:pt>
                <c:pt idx="13">
                  <c:v>0.397674009445322</c:v>
                </c:pt>
                <c:pt idx="14">
                  <c:v>0.465744493293477</c:v>
                </c:pt>
              </c:numCache>
            </c:numRef>
          </c:val>
          <c:smooth val="1"/>
        </c:ser>
        <c:dLbls>
          <c:showLegendKey val="0"/>
          <c:showVal val="0"/>
          <c:showCatName val="0"/>
          <c:showSerName val="0"/>
          <c:showPercent val="0"/>
          <c:showBubbleSize val="0"/>
        </c:dLbls>
        <c:marker val="1"/>
        <c:smooth val="0"/>
        <c:axId val="212933248"/>
        <c:axId val="212951424"/>
      </c:lineChart>
      <c:lineChart>
        <c:grouping val="standard"/>
        <c:varyColors val="0"/>
        <c:ser>
          <c:idx val="1"/>
          <c:order val="1"/>
          <c:tx>
            <c:v>ММВБ (сред. мес.)</c:v>
          </c:tx>
          <c:spPr>
            <a:ln>
              <a:solidFill>
                <a:srgbClr val="00B0F0"/>
              </a:solidFill>
            </a:ln>
          </c:spPr>
          <c:marker>
            <c:symbol val="none"/>
          </c:marker>
          <c:val>
            <c:numRef>
              <c:f>VAR!$I$2:$I$16</c:f>
              <c:numCache>
                <c:formatCode>General</c:formatCode>
                <c:ptCount val="15"/>
                <c:pt idx="0">
                  <c:v>1478.06105263158</c:v>
                </c:pt>
                <c:pt idx="1">
                  <c:v>1475.6195</c:v>
                </c:pt>
                <c:pt idx="2">
                  <c:v>1316.31</c:v>
                </c:pt>
                <c:pt idx="3">
                  <c:v>1338.3463636363599</c:v>
                </c:pt>
                <c:pt idx="4">
                  <c:v>1395.075</c:v>
                </c:pt>
                <c:pt idx="5">
                  <c:v>1485.0552631578901</c:v>
                </c:pt>
                <c:pt idx="6">
                  <c:v>1448.8991304347801</c:v>
                </c:pt>
                <c:pt idx="7">
                  <c:v>1404.18857142857</c:v>
                </c:pt>
                <c:pt idx="8">
                  <c:v>1441.7504545454501</c:v>
                </c:pt>
                <c:pt idx="9">
                  <c:v>1395.1791304347801</c:v>
                </c:pt>
                <c:pt idx="10">
                  <c:v>1515.47052631579</c:v>
                </c:pt>
                <c:pt idx="11">
                  <c:v>1469.9931818181799</c:v>
                </c:pt>
                <c:pt idx="12">
                  <c:v>1585.29666666667</c:v>
                </c:pt>
                <c:pt idx="13">
                  <c:v>1753.43947368421</c:v>
                </c:pt>
                <c:pt idx="14">
                  <c:v>1656.59857142857</c:v>
                </c:pt>
              </c:numCache>
            </c:numRef>
          </c:val>
          <c:smooth val="1"/>
        </c:ser>
        <c:dLbls>
          <c:showLegendKey val="0"/>
          <c:showVal val="0"/>
          <c:showCatName val="0"/>
          <c:showSerName val="0"/>
          <c:showPercent val="0"/>
          <c:showBubbleSize val="0"/>
        </c:dLbls>
        <c:marker val="1"/>
        <c:smooth val="0"/>
        <c:axId val="212954496"/>
        <c:axId val="212952960"/>
      </c:lineChart>
      <c:catAx>
        <c:axId val="212933248"/>
        <c:scaling>
          <c:orientation val="minMax"/>
        </c:scaling>
        <c:delete val="0"/>
        <c:axPos val="b"/>
        <c:majorGridlines>
          <c:spPr>
            <a:ln>
              <a:solidFill>
                <a:schemeClr val="tx2">
                  <a:lumMod val="20000"/>
                  <a:lumOff val="80000"/>
                </a:schemeClr>
              </a:solidFill>
            </a:ln>
          </c:spPr>
        </c:majorGridlines>
        <c:numFmt formatCode="General" sourceLinked="1"/>
        <c:majorTickMark val="none"/>
        <c:minorTickMark val="none"/>
        <c:tickLblPos val="nextTo"/>
        <c:crossAx val="212951424"/>
        <c:crosses val="autoZero"/>
        <c:auto val="1"/>
        <c:lblAlgn val="ctr"/>
        <c:lblOffset val="100"/>
        <c:tickLblSkip val="2"/>
        <c:noMultiLvlLbl val="1"/>
      </c:catAx>
      <c:valAx>
        <c:axId val="212951424"/>
        <c:scaling>
          <c:orientation val="minMax"/>
        </c:scaling>
        <c:delete val="0"/>
        <c:axPos val="l"/>
        <c:majorGridlines>
          <c:spPr>
            <a:ln>
              <a:solidFill>
                <a:schemeClr val="tx2">
                  <a:lumMod val="20000"/>
                  <a:lumOff val="80000"/>
                </a:schemeClr>
              </a:solidFill>
            </a:ln>
          </c:spPr>
        </c:majorGridlines>
        <c:numFmt formatCode="General" sourceLinked="1"/>
        <c:majorTickMark val="none"/>
        <c:minorTickMark val="none"/>
        <c:tickLblPos val="nextTo"/>
        <c:spPr>
          <a:ln w="9525">
            <a:noFill/>
          </a:ln>
        </c:spPr>
        <c:crossAx val="212933248"/>
        <c:crosses val="autoZero"/>
        <c:crossBetween val="midCat"/>
      </c:valAx>
      <c:valAx>
        <c:axId val="212952960"/>
        <c:scaling>
          <c:orientation val="minMax"/>
          <c:max val="1800"/>
          <c:min val="1200"/>
        </c:scaling>
        <c:delete val="0"/>
        <c:axPos val="r"/>
        <c:numFmt formatCode="General" sourceLinked="1"/>
        <c:majorTickMark val="out"/>
        <c:minorTickMark val="none"/>
        <c:tickLblPos val="nextTo"/>
        <c:crossAx val="212954496"/>
        <c:crosses val="max"/>
        <c:crossBetween val="between"/>
      </c:valAx>
      <c:catAx>
        <c:axId val="212954496"/>
        <c:scaling>
          <c:orientation val="minMax"/>
        </c:scaling>
        <c:delete val="1"/>
        <c:axPos val="b"/>
        <c:majorTickMark val="out"/>
        <c:minorTickMark val="none"/>
        <c:tickLblPos val="none"/>
        <c:crossAx val="212952960"/>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30.06.2014</c:v>
          </c:tx>
          <c:spPr>
            <a:ln w="19050">
              <a:solidFill>
                <a:schemeClr val="accent2">
                  <a:lumMod val="60000"/>
                  <a:lumOff val="40000"/>
                </a:schemeClr>
              </a:solidFill>
            </a:ln>
          </c:spPr>
          <c:marker>
            <c:symbol val="circle"/>
            <c:size val="3"/>
            <c:spPr>
              <a:solidFill>
                <a:schemeClr val="accent2">
                  <a:lumMod val="60000"/>
                  <a:lumOff val="40000"/>
                </a:schemeClr>
              </a:solidFill>
              <a:ln>
                <a:solidFill>
                  <a:schemeClr val="accent2">
                    <a:lumMod val="60000"/>
                    <a:lumOff val="40000"/>
                  </a:schemeClr>
                </a:solidFill>
              </a:ln>
            </c:spPr>
          </c:marker>
          <c:yVal>
            <c:numRef>
              <c:f>'Процентные ставки'!$B$11:$AE$11</c:f>
              <c:numCache>
                <c:formatCode>0%</c:formatCode>
                <c:ptCount val="30"/>
                <c:pt idx="0">
                  <c:v>7.7800000000000022E-2</c:v>
                </c:pt>
                <c:pt idx="1">
                  <c:v>8.0900000000000014E-2</c:v>
                </c:pt>
                <c:pt idx="2">
                  <c:v>8.1600000000000006E-2</c:v>
                </c:pt>
                <c:pt idx="3">
                  <c:v>8.1300000000000011E-2</c:v>
                </c:pt>
                <c:pt idx="4">
                  <c:v>8.1900000000000001E-2</c:v>
                </c:pt>
                <c:pt idx="5">
                  <c:v>8.280000000000004E-2</c:v>
                </c:pt>
                <c:pt idx="6">
                  <c:v>8.3600000000000035E-2</c:v>
                </c:pt>
                <c:pt idx="7">
                  <c:v>8.4200000000000025E-2</c:v>
                </c:pt>
                <c:pt idx="8">
                  <c:v>8.4800000000000014E-2</c:v>
                </c:pt>
                <c:pt idx="9">
                  <c:v>8.5300000000000015E-2</c:v>
                </c:pt>
                <c:pt idx="10">
                  <c:v>8.5700000000000026E-2</c:v>
                </c:pt>
                <c:pt idx="11">
                  <c:v>8.6000000000000021E-2</c:v>
                </c:pt>
                <c:pt idx="12">
                  <c:v>8.6300000000000002E-2</c:v>
                </c:pt>
                <c:pt idx="13">
                  <c:v>8.6500000000000007E-2</c:v>
                </c:pt>
                <c:pt idx="14">
                  <c:v>8.6800000000000002E-2</c:v>
                </c:pt>
                <c:pt idx="15">
                  <c:v>8.7000000000000022E-2</c:v>
                </c:pt>
                <c:pt idx="16">
                  <c:v>8.7100000000000025E-2</c:v>
                </c:pt>
                <c:pt idx="17">
                  <c:v>8.7300000000000003E-2</c:v>
                </c:pt>
                <c:pt idx="18">
                  <c:v>8.7399999999999992E-2</c:v>
                </c:pt>
                <c:pt idx="19">
                  <c:v>8.7500000000000008E-2</c:v>
                </c:pt>
                <c:pt idx="20">
                  <c:v>8.7600000000000025E-2</c:v>
                </c:pt>
                <c:pt idx="21">
                  <c:v>8.77E-2</c:v>
                </c:pt>
                <c:pt idx="22">
                  <c:v>8.7800000000000045E-2</c:v>
                </c:pt>
                <c:pt idx="23">
                  <c:v>8.790000000000002E-2</c:v>
                </c:pt>
                <c:pt idx="24">
                  <c:v>8.8000000000000037E-2</c:v>
                </c:pt>
                <c:pt idx="25">
                  <c:v>8.8000000000000037E-2</c:v>
                </c:pt>
                <c:pt idx="26">
                  <c:v>8.8100000000000039E-2</c:v>
                </c:pt>
                <c:pt idx="27">
                  <c:v>8.8200000000000014E-2</c:v>
                </c:pt>
                <c:pt idx="28">
                  <c:v>8.8200000000000014E-2</c:v>
                </c:pt>
                <c:pt idx="29">
                  <c:v>8.8300000000000017E-2</c:v>
                </c:pt>
              </c:numCache>
            </c:numRef>
          </c:yVal>
          <c:smooth val="0"/>
        </c:ser>
        <c:ser>
          <c:idx val="4"/>
          <c:order val="2"/>
          <c:tx>
            <c:v>30.06.2008</c:v>
          </c:tx>
          <c:spPr>
            <a:ln w="19050">
              <a:solidFill>
                <a:schemeClr val="accent5">
                  <a:lumMod val="60000"/>
                  <a:lumOff val="40000"/>
                </a:schemeClr>
              </a:solidFill>
            </a:ln>
          </c:spPr>
          <c:marker>
            <c:symbol val="circle"/>
            <c:size val="3"/>
            <c:spPr>
              <a:solidFill>
                <a:schemeClr val="accent5">
                  <a:lumMod val="60000"/>
                  <a:lumOff val="40000"/>
                </a:schemeClr>
              </a:solidFill>
              <a:ln>
                <a:solidFill>
                  <a:schemeClr val="accent5">
                    <a:lumMod val="60000"/>
                    <a:lumOff val="40000"/>
                  </a:schemeClr>
                </a:solidFill>
              </a:ln>
            </c:spPr>
          </c:marker>
          <c:yVal>
            <c:numRef>
              <c:f>'Процентные ставки'!$B$13:$AE$13</c:f>
              <c:numCache>
                <c:formatCode>0%</c:formatCode>
                <c:ptCount val="30"/>
                <c:pt idx="0">
                  <c:v>5.3699999999999998E-2</c:v>
                </c:pt>
                <c:pt idx="1">
                  <c:v>5.9500000000000011E-2</c:v>
                </c:pt>
                <c:pt idx="2">
                  <c:v>6.1300000000000007E-2</c:v>
                </c:pt>
                <c:pt idx="3">
                  <c:v>6.1100000000000002E-2</c:v>
                </c:pt>
                <c:pt idx="4">
                  <c:v>6.2699999999999992E-2</c:v>
                </c:pt>
                <c:pt idx="5">
                  <c:v>6.4600000000000019E-2</c:v>
                </c:pt>
                <c:pt idx="6">
                  <c:v>6.6000000000000003E-2</c:v>
                </c:pt>
                <c:pt idx="7">
                  <c:v>6.7099999999999993E-2</c:v>
                </c:pt>
                <c:pt idx="8">
                  <c:v>6.8000000000000019E-2</c:v>
                </c:pt>
                <c:pt idx="9">
                  <c:v>6.8699999999999997E-2</c:v>
                </c:pt>
                <c:pt idx="10">
                  <c:v>6.9300000000000014E-2</c:v>
                </c:pt>
                <c:pt idx="11">
                  <c:v>6.9700000000000012E-2</c:v>
                </c:pt>
                <c:pt idx="12">
                  <c:v>7.010000000000001E-2</c:v>
                </c:pt>
                <c:pt idx="13">
                  <c:v>7.0499999999999993E-2</c:v>
                </c:pt>
                <c:pt idx="14">
                  <c:v>7.0800000000000002E-2</c:v>
                </c:pt>
                <c:pt idx="15">
                  <c:v>7.0999999999999994E-2</c:v>
                </c:pt>
                <c:pt idx="16">
                  <c:v>7.1199999999999999E-2</c:v>
                </c:pt>
                <c:pt idx="17">
                  <c:v>7.1399999999999991E-2</c:v>
                </c:pt>
                <c:pt idx="18">
                  <c:v>7.1599999999999997E-2</c:v>
                </c:pt>
                <c:pt idx="19">
                  <c:v>7.1800000000000003E-2</c:v>
                </c:pt>
                <c:pt idx="20">
                  <c:v>7.1900000000000006E-2</c:v>
                </c:pt>
                <c:pt idx="21">
                  <c:v>7.2100000000000011E-2</c:v>
                </c:pt>
                <c:pt idx="22">
                  <c:v>7.22E-2</c:v>
                </c:pt>
                <c:pt idx="23">
                  <c:v>7.2300000000000017E-2</c:v>
                </c:pt>
                <c:pt idx="24">
                  <c:v>7.240000000000002E-2</c:v>
                </c:pt>
                <c:pt idx="25">
                  <c:v>7.2500000000000009E-2</c:v>
                </c:pt>
                <c:pt idx="26">
                  <c:v>7.2600000000000012E-2</c:v>
                </c:pt>
                <c:pt idx="27">
                  <c:v>7.2700000000000015E-2</c:v>
                </c:pt>
                <c:pt idx="28">
                  <c:v>7.2700000000000015E-2</c:v>
                </c:pt>
                <c:pt idx="29">
                  <c:v>7.2800000000000017E-2</c:v>
                </c:pt>
              </c:numCache>
            </c:numRef>
          </c:yVal>
          <c:smooth val="0"/>
        </c:ser>
        <c:ser>
          <c:idx val="7"/>
          <c:order val="3"/>
          <c:tx>
            <c:v>30.03.2009</c:v>
          </c:tx>
          <c:spPr>
            <a:ln w="19050">
              <a:solidFill>
                <a:schemeClr val="accent1"/>
              </a:solidFill>
            </a:ln>
          </c:spPr>
          <c:marker>
            <c:symbol val="circle"/>
            <c:size val="3"/>
            <c:spPr>
              <a:solidFill>
                <a:schemeClr val="accent5">
                  <a:lumMod val="60000"/>
                  <a:lumOff val="40000"/>
                </a:schemeClr>
              </a:solidFill>
              <a:ln>
                <a:solidFill>
                  <a:schemeClr val="accent1"/>
                </a:solidFill>
              </a:ln>
            </c:spPr>
          </c:marker>
          <c:yVal>
            <c:numRef>
              <c:f>'Процентные ставки'!$B$14:$AE$14</c:f>
              <c:numCache>
                <c:formatCode>0%</c:formatCode>
                <c:ptCount val="30"/>
                <c:pt idx="0">
                  <c:v>9.9800000000000014E-2</c:v>
                </c:pt>
                <c:pt idx="1">
                  <c:v>0.11670000000000001</c:v>
                </c:pt>
                <c:pt idx="2">
                  <c:v>0.11789999999999998</c:v>
                </c:pt>
                <c:pt idx="3">
                  <c:v>0.11230000000000001</c:v>
                </c:pt>
                <c:pt idx="4">
                  <c:v>0.1115</c:v>
                </c:pt>
                <c:pt idx="5">
                  <c:v>0.11230000000000001</c:v>
                </c:pt>
                <c:pt idx="6">
                  <c:v>0.113</c:v>
                </c:pt>
                <c:pt idx="7">
                  <c:v>0.11349999999999998</c:v>
                </c:pt>
                <c:pt idx="8">
                  <c:v>0.1139</c:v>
                </c:pt>
                <c:pt idx="9">
                  <c:v>0.11420000000000001</c:v>
                </c:pt>
                <c:pt idx="10">
                  <c:v>0.1144</c:v>
                </c:pt>
                <c:pt idx="11">
                  <c:v>0.11460000000000002</c:v>
                </c:pt>
                <c:pt idx="12">
                  <c:v>0.1148</c:v>
                </c:pt>
                <c:pt idx="13">
                  <c:v>0.1149</c:v>
                </c:pt>
                <c:pt idx="14">
                  <c:v>0.115</c:v>
                </c:pt>
                <c:pt idx="15">
                  <c:v>0.11520000000000001</c:v>
                </c:pt>
                <c:pt idx="16">
                  <c:v>0.11520000000000001</c:v>
                </c:pt>
                <c:pt idx="17">
                  <c:v>0.1153</c:v>
                </c:pt>
                <c:pt idx="18">
                  <c:v>0.11539999999999997</c:v>
                </c:pt>
                <c:pt idx="19">
                  <c:v>0.11550000000000002</c:v>
                </c:pt>
                <c:pt idx="20">
                  <c:v>0.11550000000000002</c:v>
                </c:pt>
                <c:pt idx="21">
                  <c:v>0.11560000000000002</c:v>
                </c:pt>
                <c:pt idx="22">
                  <c:v>0.11560000000000002</c:v>
                </c:pt>
                <c:pt idx="23">
                  <c:v>0.11570000000000001</c:v>
                </c:pt>
                <c:pt idx="24">
                  <c:v>0.11570000000000001</c:v>
                </c:pt>
                <c:pt idx="25">
                  <c:v>0.1158</c:v>
                </c:pt>
                <c:pt idx="26">
                  <c:v>0.1158</c:v>
                </c:pt>
                <c:pt idx="27">
                  <c:v>0.1158</c:v>
                </c:pt>
                <c:pt idx="28">
                  <c:v>0.1159</c:v>
                </c:pt>
                <c:pt idx="29">
                  <c:v>0.1159</c:v>
                </c:pt>
              </c:numCache>
            </c:numRef>
          </c:yVal>
          <c:smooth val="0"/>
        </c:ser>
        <c:ser>
          <c:idx val="2"/>
          <c:order val="1"/>
          <c:tx>
            <c:v>29.12.2014</c:v>
          </c:tx>
          <c:spPr>
            <a:ln w="19050">
              <a:solidFill>
                <a:schemeClr val="accent2">
                  <a:lumMod val="75000"/>
                </a:schemeClr>
              </a:solidFill>
            </a:ln>
          </c:spPr>
          <c:marker>
            <c:symbol val="circle"/>
            <c:size val="3"/>
            <c:spPr>
              <a:solidFill>
                <a:schemeClr val="accent2">
                  <a:lumMod val="75000"/>
                </a:schemeClr>
              </a:solidFill>
              <a:ln>
                <a:solidFill>
                  <a:schemeClr val="accent2">
                    <a:lumMod val="75000"/>
                  </a:schemeClr>
                </a:solidFill>
              </a:ln>
            </c:spPr>
          </c:marker>
          <c:yVal>
            <c:numRef>
              <c:f>'Процентные ставки'!$B$12:$AE$12</c:f>
              <c:numCache>
                <c:formatCode>0%</c:formatCode>
                <c:ptCount val="30"/>
                <c:pt idx="0">
                  <c:v>0.14219999999999999</c:v>
                </c:pt>
                <c:pt idx="1">
                  <c:v>0.15340000000000004</c:v>
                </c:pt>
                <c:pt idx="2">
                  <c:v>0.15470000000000003</c:v>
                </c:pt>
                <c:pt idx="3">
                  <c:v>0.15040000000000001</c:v>
                </c:pt>
                <c:pt idx="4">
                  <c:v>0.14660000000000001</c:v>
                </c:pt>
                <c:pt idx="5">
                  <c:v>0.14350000000000002</c:v>
                </c:pt>
                <c:pt idx="6">
                  <c:v>0.14080000000000001</c:v>
                </c:pt>
                <c:pt idx="7">
                  <c:v>0.13840000000000002</c:v>
                </c:pt>
                <c:pt idx="8">
                  <c:v>0.13619999999999999</c:v>
                </c:pt>
                <c:pt idx="9">
                  <c:v>0.13439999999999999</c:v>
                </c:pt>
                <c:pt idx="10">
                  <c:v>0.13269999999999998</c:v>
                </c:pt>
                <c:pt idx="11">
                  <c:v>0.13119999999999998</c:v>
                </c:pt>
                <c:pt idx="12">
                  <c:v>0.12990000000000004</c:v>
                </c:pt>
                <c:pt idx="13">
                  <c:v>0.12869999999999998</c:v>
                </c:pt>
                <c:pt idx="14">
                  <c:v>0.12770000000000001</c:v>
                </c:pt>
                <c:pt idx="15">
                  <c:v>0.12670000000000001</c:v>
                </c:pt>
                <c:pt idx="16">
                  <c:v>0.12590000000000001</c:v>
                </c:pt>
                <c:pt idx="17">
                  <c:v>0.12509999999999999</c:v>
                </c:pt>
                <c:pt idx="18">
                  <c:v>0.12440000000000001</c:v>
                </c:pt>
                <c:pt idx="19">
                  <c:v>0.12369999999999999</c:v>
                </c:pt>
                <c:pt idx="20">
                  <c:v>0.12310000000000001</c:v>
                </c:pt>
                <c:pt idx="21">
                  <c:v>0.12260000000000001</c:v>
                </c:pt>
                <c:pt idx="22">
                  <c:v>0.12210000000000003</c:v>
                </c:pt>
                <c:pt idx="23">
                  <c:v>0.12160000000000001</c:v>
                </c:pt>
                <c:pt idx="24">
                  <c:v>0.12119999999999999</c:v>
                </c:pt>
                <c:pt idx="25">
                  <c:v>0.1208</c:v>
                </c:pt>
                <c:pt idx="26">
                  <c:v>0.12050000000000002</c:v>
                </c:pt>
                <c:pt idx="27">
                  <c:v>0.12010000000000001</c:v>
                </c:pt>
                <c:pt idx="28">
                  <c:v>0.1198</c:v>
                </c:pt>
                <c:pt idx="29">
                  <c:v>0.11950000000000001</c:v>
                </c:pt>
              </c:numCache>
            </c:numRef>
          </c:yVal>
          <c:smooth val="0"/>
        </c:ser>
        <c:dLbls>
          <c:showLegendKey val="0"/>
          <c:showVal val="0"/>
          <c:showCatName val="0"/>
          <c:showSerName val="0"/>
          <c:showPercent val="0"/>
          <c:showBubbleSize val="0"/>
        </c:dLbls>
        <c:axId val="212972288"/>
        <c:axId val="212974208"/>
      </c:scatterChart>
      <c:valAx>
        <c:axId val="212972288"/>
        <c:scaling>
          <c:orientation val="minMax"/>
          <c:max val="30"/>
          <c:min val="1"/>
        </c:scaling>
        <c:delete val="0"/>
        <c:axPos val="b"/>
        <c:majorGridlines>
          <c:spPr>
            <a:ln>
              <a:solidFill>
                <a:schemeClr val="accent1">
                  <a:lumMod val="20000"/>
                  <a:lumOff val="80000"/>
                </a:schemeClr>
              </a:solidFill>
            </a:ln>
          </c:spPr>
        </c:majorGridlines>
        <c:majorTickMark val="none"/>
        <c:minorTickMark val="none"/>
        <c:tickLblPos val="nextTo"/>
        <c:crossAx val="212974208"/>
        <c:crosses val="autoZero"/>
        <c:crossBetween val="midCat"/>
        <c:majorUnit val="3"/>
      </c:valAx>
      <c:valAx>
        <c:axId val="212974208"/>
        <c:scaling>
          <c:orientation val="minMax"/>
          <c:max val="0.17"/>
          <c:min val="4.0000000000000015E-2"/>
        </c:scaling>
        <c:delete val="0"/>
        <c:axPos val="l"/>
        <c:majorGridlines>
          <c:spPr>
            <a:ln>
              <a:solidFill>
                <a:schemeClr val="accent1">
                  <a:lumMod val="20000"/>
                  <a:lumOff val="80000"/>
                </a:schemeClr>
              </a:solidFill>
            </a:ln>
          </c:spPr>
        </c:majorGridlines>
        <c:numFmt formatCode="0%" sourceLinked="1"/>
        <c:majorTickMark val="none"/>
        <c:minorTickMark val="none"/>
        <c:tickLblPos val="nextTo"/>
        <c:crossAx val="212972288"/>
        <c:crosses val="autoZero"/>
        <c:crossBetween val="midCat"/>
      </c:valAx>
    </c:plotArea>
    <c:legend>
      <c:legendPos val="b"/>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Дюрация (дней)</c:v>
          </c:tx>
          <c:marker>
            <c:symbol val="circle"/>
            <c:size val="3"/>
            <c:spPr>
              <a:solidFill>
                <a:srgbClr val="0070C0"/>
              </a:solidFill>
              <a:ln>
                <a:solidFill>
                  <a:srgbClr val="0070C0"/>
                </a:solidFill>
              </a:ln>
            </c:spPr>
          </c:marker>
          <c:cat>
            <c:numRef>
              <c:f>Дюрация!$D$431:$D$436</c:f>
              <c:numCache>
                <c:formatCode>m/d/yyyy</c:formatCode>
                <c:ptCount val="6"/>
                <c:pt idx="0">
                  <c:v>41625</c:v>
                </c:pt>
                <c:pt idx="1">
                  <c:v>41716</c:v>
                </c:pt>
                <c:pt idx="2">
                  <c:v>41807</c:v>
                </c:pt>
                <c:pt idx="3">
                  <c:v>41898</c:v>
                </c:pt>
                <c:pt idx="4">
                  <c:v>41989</c:v>
                </c:pt>
                <c:pt idx="5">
                  <c:v>42080</c:v>
                </c:pt>
              </c:numCache>
            </c:numRef>
          </c:cat>
          <c:val>
            <c:numRef>
              <c:f>Дюрация!$C$431:$C$436</c:f>
              <c:numCache>
                <c:formatCode>General</c:formatCode>
                <c:ptCount val="6"/>
                <c:pt idx="0">
                  <c:v>722.74919999999997</c:v>
                </c:pt>
                <c:pt idx="1">
                  <c:v>678.52810000000011</c:v>
                </c:pt>
                <c:pt idx="2">
                  <c:v>543.18859999999995</c:v>
                </c:pt>
                <c:pt idx="3">
                  <c:v>532.4798000000003</c:v>
                </c:pt>
                <c:pt idx="4">
                  <c:v>518.38970000000029</c:v>
                </c:pt>
                <c:pt idx="5">
                  <c:v>476.13890000000004</c:v>
                </c:pt>
              </c:numCache>
            </c:numRef>
          </c:val>
          <c:smooth val="1"/>
        </c:ser>
        <c:dLbls>
          <c:showLegendKey val="0"/>
          <c:showVal val="0"/>
          <c:showCatName val="0"/>
          <c:showSerName val="0"/>
          <c:showPercent val="0"/>
          <c:showBubbleSize val="0"/>
        </c:dLbls>
        <c:marker val="1"/>
        <c:smooth val="0"/>
        <c:axId val="212999552"/>
        <c:axId val="213001728"/>
      </c:lineChart>
      <c:lineChart>
        <c:grouping val="standard"/>
        <c:varyColors val="0"/>
        <c:ser>
          <c:idx val="1"/>
          <c:order val="1"/>
          <c:tx>
            <c:v>Liquidity cost</c:v>
          </c:tx>
          <c:spPr>
            <a:ln>
              <a:solidFill>
                <a:srgbClr val="00B0F0"/>
              </a:solidFill>
            </a:ln>
          </c:spPr>
          <c:marker>
            <c:symbol val="circle"/>
            <c:size val="3"/>
            <c:spPr>
              <a:solidFill>
                <a:srgbClr val="00B0F0"/>
              </a:solidFill>
              <a:ln>
                <a:solidFill>
                  <a:srgbClr val="00B0F0"/>
                </a:solidFill>
              </a:ln>
            </c:spPr>
          </c:marker>
          <c:val>
            <c:numRef>
              <c:f>Дюрация!$K$92:$K$427</c:f>
              <c:numCache>
                <c:formatCode>General</c:formatCode>
                <c:ptCount val="6"/>
                <c:pt idx="0">
                  <c:v>1.138657723725444E-2</c:v>
                </c:pt>
                <c:pt idx="1">
                  <c:v>1.8150985501599933E-2</c:v>
                </c:pt>
                <c:pt idx="2">
                  <c:v>2.4290366421229996E-2</c:v>
                </c:pt>
                <c:pt idx="3">
                  <c:v>3.2738817511470175E-2</c:v>
                </c:pt>
                <c:pt idx="4">
                  <c:v>4.4911761947559171E-2</c:v>
                </c:pt>
                <c:pt idx="5">
                  <c:v>4.1372935299512831E-2</c:v>
                </c:pt>
              </c:numCache>
            </c:numRef>
          </c:val>
          <c:smooth val="1"/>
        </c:ser>
        <c:dLbls>
          <c:showLegendKey val="0"/>
          <c:showVal val="0"/>
          <c:showCatName val="0"/>
          <c:showSerName val="0"/>
          <c:showPercent val="0"/>
          <c:showBubbleSize val="0"/>
        </c:dLbls>
        <c:marker val="1"/>
        <c:smooth val="0"/>
        <c:axId val="213017344"/>
        <c:axId val="213003264"/>
      </c:lineChart>
      <c:dateAx>
        <c:axId val="212999552"/>
        <c:scaling>
          <c:orientation val="minMax"/>
        </c:scaling>
        <c:delete val="0"/>
        <c:axPos val="b"/>
        <c:majorGridlines>
          <c:spPr>
            <a:ln>
              <a:solidFill>
                <a:schemeClr val="accent1">
                  <a:lumMod val="20000"/>
                  <a:lumOff val="80000"/>
                </a:schemeClr>
              </a:solidFill>
            </a:ln>
          </c:spPr>
        </c:majorGridlines>
        <c:numFmt formatCode="[$-419]mm\ yyyy;@" sourceLinked="0"/>
        <c:majorTickMark val="none"/>
        <c:minorTickMark val="none"/>
        <c:tickLblPos val="nextTo"/>
        <c:crossAx val="213001728"/>
        <c:crosses val="autoZero"/>
        <c:auto val="1"/>
        <c:lblOffset val="100"/>
        <c:baseTimeUnit val="months"/>
        <c:majorUnit val="3"/>
        <c:majorTimeUnit val="months"/>
        <c:minorUnit val="1"/>
        <c:minorTimeUnit val="months"/>
      </c:dateAx>
      <c:valAx>
        <c:axId val="213001728"/>
        <c:scaling>
          <c:orientation val="minMax"/>
          <c:min val="450"/>
        </c:scaling>
        <c:delete val="0"/>
        <c:axPos val="l"/>
        <c:majorGridlines>
          <c:spPr>
            <a:ln>
              <a:solidFill>
                <a:schemeClr val="accent1">
                  <a:lumMod val="20000"/>
                  <a:lumOff val="80000"/>
                </a:schemeClr>
              </a:solidFill>
            </a:ln>
          </c:spPr>
        </c:majorGridlines>
        <c:numFmt formatCode="General" sourceLinked="1"/>
        <c:majorTickMark val="none"/>
        <c:minorTickMark val="none"/>
        <c:tickLblPos val="nextTo"/>
        <c:crossAx val="212999552"/>
        <c:crosses val="autoZero"/>
        <c:crossBetween val="midCat"/>
      </c:valAx>
      <c:valAx>
        <c:axId val="213003264"/>
        <c:scaling>
          <c:orientation val="minMax"/>
          <c:max val="4.6000000000000013E-2"/>
          <c:min val="1.0000000000000004E-2"/>
        </c:scaling>
        <c:delete val="0"/>
        <c:axPos val="r"/>
        <c:numFmt formatCode="General" sourceLinked="1"/>
        <c:majorTickMark val="out"/>
        <c:minorTickMark val="none"/>
        <c:tickLblPos val="nextTo"/>
        <c:crossAx val="213017344"/>
        <c:crosses val="max"/>
        <c:crossBetween val="between"/>
      </c:valAx>
      <c:catAx>
        <c:axId val="213017344"/>
        <c:scaling>
          <c:orientation val="minMax"/>
        </c:scaling>
        <c:delete val="1"/>
        <c:axPos val="b"/>
        <c:majorTickMark val="out"/>
        <c:minorTickMark val="none"/>
        <c:tickLblPos val="none"/>
        <c:crossAx val="213003264"/>
        <c:crosses val="autoZero"/>
        <c:auto val="1"/>
        <c:lblAlgn val="ctr"/>
        <c:lblOffset val="100"/>
        <c:noMultiLvlLbl val="0"/>
      </c:catAx>
    </c:plotArea>
    <c:legend>
      <c:legendPos val="b"/>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VAR(95)</c:v>
          </c:tx>
          <c:marker>
            <c:symbol val="circle"/>
            <c:size val="3"/>
            <c:spPr>
              <a:solidFill>
                <a:srgbClr val="0070C0"/>
              </a:solidFill>
              <a:ln>
                <a:solidFill>
                  <a:srgbClr val="0070C0"/>
                </a:solidFill>
              </a:ln>
            </c:spPr>
          </c:marker>
          <c:cat>
            <c:numRef>
              <c:f>Дюрация!$E$431:$E$436</c:f>
              <c:numCache>
                <c:formatCode>m/d/yyyy</c:formatCode>
                <c:ptCount val="6"/>
                <c:pt idx="0">
                  <c:v>41625</c:v>
                </c:pt>
                <c:pt idx="1">
                  <c:v>41716</c:v>
                </c:pt>
                <c:pt idx="2">
                  <c:v>41807</c:v>
                </c:pt>
                <c:pt idx="3">
                  <c:v>41898</c:v>
                </c:pt>
                <c:pt idx="4">
                  <c:v>41989</c:v>
                </c:pt>
                <c:pt idx="5">
                  <c:v>42080</c:v>
                </c:pt>
              </c:numCache>
            </c:numRef>
          </c:cat>
          <c:val>
            <c:numRef>
              <c:f>Дюрация!$F$431:$F$436</c:f>
              <c:numCache>
                <c:formatCode>General</c:formatCode>
                <c:ptCount val="6"/>
                <c:pt idx="0">
                  <c:v>6.9297479513804994E-2</c:v>
                </c:pt>
                <c:pt idx="1">
                  <c:v>0.14145908971069296</c:v>
                </c:pt>
                <c:pt idx="2">
                  <c:v>0.15446359694084244</c:v>
                </c:pt>
                <c:pt idx="3">
                  <c:v>0.21009209758306632</c:v>
                </c:pt>
                <c:pt idx="4">
                  <c:v>0.315380276577437</c:v>
                </c:pt>
                <c:pt idx="5">
                  <c:v>0.43493319888109055</c:v>
                </c:pt>
              </c:numCache>
            </c:numRef>
          </c:val>
          <c:smooth val="1"/>
        </c:ser>
        <c:dLbls>
          <c:showLegendKey val="0"/>
          <c:showVal val="0"/>
          <c:showCatName val="0"/>
          <c:showSerName val="0"/>
          <c:showPercent val="0"/>
          <c:showBubbleSize val="0"/>
        </c:dLbls>
        <c:marker val="1"/>
        <c:smooth val="0"/>
        <c:axId val="213047936"/>
        <c:axId val="212599168"/>
      </c:lineChart>
      <c:scatterChart>
        <c:scatterStyle val="lineMarker"/>
        <c:varyColors val="0"/>
        <c:ser>
          <c:idx val="1"/>
          <c:order val="1"/>
          <c:tx>
            <c:v>MIACR (от 8 до 30 дн.)</c:v>
          </c:tx>
          <c:spPr>
            <a:ln w="19050">
              <a:solidFill>
                <a:srgbClr val="00B0F0"/>
              </a:solidFill>
            </a:ln>
          </c:spPr>
          <c:marker>
            <c:symbol val="circle"/>
            <c:size val="3"/>
            <c:spPr>
              <a:solidFill>
                <a:srgbClr val="00B0F0"/>
              </a:solidFill>
              <a:ln>
                <a:solidFill>
                  <a:srgbClr val="00B0F0"/>
                </a:solidFill>
              </a:ln>
            </c:spPr>
          </c:marker>
          <c:xVal>
            <c:numRef>
              <c:f>Дюрация!$Q$441:$Q$456</c:f>
              <c:numCache>
                <c:formatCode>m/d/yyyy</c:formatCode>
                <c:ptCount val="16"/>
                <c:pt idx="0">
                  <c:v>41623</c:v>
                </c:pt>
                <c:pt idx="1">
                  <c:v>41654</c:v>
                </c:pt>
                <c:pt idx="2">
                  <c:v>41685</c:v>
                </c:pt>
                <c:pt idx="3">
                  <c:v>41713</c:v>
                </c:pt>
                <c:pt idx="4">
                  <c:v>41744</c:v>
                </c:pt>
                <c:pt idx="5">
                  <c:v>41774</c:v>
                </c:pt>
                <c:pt idx="6">
                  <c:v>41805</c:v>
                </c:pt>
                <c:pt idx="7">
                  <c:v>41835</c:v>
                </c:pt>
                <c:pt idx="8">
                  <c:v>41866</c:v>
                </c:pt>
                <c:pt idx="9">
                  <c:v>41897</c:v>
                </c:pt>
                <c:pt idx="10">
                  <c:v>41927</c:v>
                </c:pt>
                <c:pt idx="11">
                  <c:v>41958</c:v>
                </c:pt>
                <c:pt idx="12">
                  <c:v>41988</c:v>
                </c:pt>
                <c:pt idx="13">
                  <c:v>42019</c:v>
                </c:pt>
                <c:pt idx="14">
                  <c:v>42050</c:v>
                </c:pt>
                <c:pt idx="15">
                  <c:v>42078</c:v>
                </c:pt>
              </c:numCache>
            </c:numRef>
          </c:xVal>
          <c:yVal>
            <c:numRef>
              <c:f>Дюрация!$P$441:$P$456</c:f>
              <c:numCache>
                <c:formatCode>General</c:formatCode>
                <c:ptCount val="16"/>
                <c:pt idx="0">
                  <c:v>6.8895238095238107E-2</c:v>
                </c:pt>
                <c:pt idx="1">
                  <c:v>7.0162500000000017E-2</c:v>
                </c:pt>
                <c:pt idx="2">
                  <c:v>7.1241176470588224E-2</c:v>
                </c:pt>
                <c:pt idx="3">
                  <c:v>8.4893333333333335E-2</c:v>
                </c:pt>
                <c:pt idx="4">
                  <c:v>8.6725000000000038E-2</c:v>
                </c:pt>
                <c:pt idx="5">
                  <c:v>9.106842105263159E-2</c:v>
                </c:pt>
                <c:pt idx="6">
                  <c:v>9.1021052631578947E-2</c:v>
                </c:pt>
                <c:pt idx="7">
                  <c:v>8.9382608695652191E-2</c:v>
                </c:pt>
                <c:pt idx="8">
                  <c:v>9.2428571428571429E-2</c:v>
                </c:pt>
                <c:pt idx="9">
                  <c:v>8.9609523809523806E-2</c:v>
                </c:pt>
                <c:pt idx="10">
                  <c:v>9.1795652173913084E-2</c:v>
                </c:pt>
                <c:pt idx="11">
                  <c:v>0.10942777777777779</c:v>
                </c:pt>
                <c:pt idx="12">
                  <c:v>0.1668</c:v>
                </c:pt>
                <c:pt idx="13">
                  <c:v>0.19967499999999996</c:v>
                </c:pt>
                <c:pt idx="14">
                  <c:v>0.15833750000000005</c:v>
                </c:pt>
                <c:pt idx="15">
                  <c:v>0.15732499999999999</c:v>
                </c:pt>
              </c:numCache>
            </c:numRef>
          </c:yVal>
          <c:smooth val="1"/>
        </c:ser>
        <c:dLbls>
          <c:showLegendKey val="0"/>
          <c:showVal val="0"/>
          <c:showCatName val="0"/>
          <c:showSerName val="0"/>
          <c:showPercent val="0"/>
          <c:showBubbleSize val="0"/>
        </c:dLbls>
        <c:axId val="212601856"/>
        <c:axId val="212600320"/>
      </c:scatterChart>
      <c:dateAx>
        <c:axId val="213047936"/>
        <c:scaling>
          <c:orientation val="minMax"/>
          <c:max val="42083"/>
          <c:min val="41623"/>
        </c:scaling>
        <c:delete val="0"/>
        <c:axPos val="b"/>
        <c:majorGridlines>
          <c:spPr>
            <a:ln>
              <a:solidFill>
                <a:schemeClr val="accent1">
                  <a:lumMod val="20000"/>
                  <a:lumOff val="80000"/>
                </a:schemeClr>
              </a:solidFill>
            </a:ln>
          </c:spPr>
        </c:majorGridlines>
        <c:numFmt formatCode="[$-419]mm\ yyyy;@" sourceLinked="0"/>
        <c:majorTickMark val="out"/>
        <c:minorTickMark val="none"/>
        <c:tickLblPos val="nextTo"/>
        <c:crossAx val="212599168"/>
        <c:crosses val="autoZero"/>
        <c:auto val="1"/>
        <c:lblOffset val="100"/>
        <c:baseTimeUnit val="days"/>
        <c:majorUnit val="60"/>
        <c:majorTimeUnit val="days"/>
      </c:dateAx>
      <c:valAx>
        <c:axId val="212599168"/>
        <c:scaling>
          <c:orientation val="minMax"/>
          <c:max val="0.45"/>
          <c:min val="5.0000000000000017E-2"/>
        </c:scaling>
        <c:delete val="0"/>
        <c:axPos val="l"/>
        <c:majorGridlines>
          <c:spPr>
            <a:ln>
              <a:solidFill>
                <a:schemeClr val="accent1">
                  <a:lumMod val="20000"/>
                  <a:lumOff val="80000"/>
                </a:schemeClr>
              </a:solidFill>
            </a:ln>
          </c:spPr>
        </c:majorGridlines>
        <c:numFmt formatCode="General" sourceLinked="1"/>
        <c:majorTickMark val="none"/>
        <c:minorTickMark val="none"/>
        <c:tickLblPos val="nextTo"/>
        <c:spPr>
          <a:ln w="6350">
            <a:noFill/>
          </a:ln>
        </c:spPr>
        <c:crossAx val="213047936"/>
        <c:crosses val="autoZero"/>
        <c:crossBetween val="between"/>
      </c:valAx>
      <c:valAx>
        <c:axId val="212600320"/>
        <c:scaling>
          <c:orientation val="minMax"/>
        </c:scaling>
        <c:delete val="0"/>
        <c:axPos val="r"/>
        <c:numFmt formatCode="General" sourceLinked="1"/>
        <c:majorTickMark val="out"/>
        <c:minorTickMark val="none"/>
        <c:tickLblPos val="nextTo"/>
        <c:crossAx val="212601856"/>
        <c:crosses val="max"/>
        <c:crossBetween val="midCat"/>
      </c:valAx>
      <c:valAx>
        <c:axId val="212601856"/>
        <c:scaling>
          <c:orientation val="minMax"/>
          <c:max val="42083"/>
          <c:min val="41623"/>
        </c:scaling>
        <c:delete val="0"/>
        <c:axPos val="t"/>
        <c:numFmt formatCode="[$-419]mm\ yyyy;@" sourceLinked="0"/>
        <c:majorTickMark val="out"/>
        <c:minorTickMark val="none"/>
        <c:tickLblPos val="nextTo"/>
        <c:crossAx val="212600320"/>
        <c:crosses val="max"/>
        <c:crossBetween val="midCat"/>
        <c:majorUnit val="60"/>
      </c:valAx>
    </c:plotArea>
    <c:legend>
      <c:legendPos val="b"/>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ТОП 10</c:v>
          </c:tx>
          <c:marker>
            <c:symbol val="circle"/>
            <c:size val="3"/>
            <c:spPr>
              <a:solidFill>
                <a:schemeClr val="accent1"/>
              </a:solidFill>
            </c:spPr>
          </c:marker>
          <c:cat>
            <c:numRef>
              <c:f>ПЗ!$AD$2:$AD$8</c:f>
              <c:numCache>
                <c:formatCode>m/d/yyyy</c:formatCode>
                <c:ptCount val="7"/>
                <c:pt idx="0">
                  <c:v>39447</c:v>
                </c:pt>
                <c:pt idx="1">
                  <c:v>39538</c:v>
                </c:pt>
                <c:pt idx="2">
                  <c:v>39629</c:v>
                </c:pt>
                <c:pt idx="3">
                  <c:v>39721</c:v>
                </c:pt>
                <c:pt idx="4">
                  <c:v>39813</c:v>
                </c:pt>
                <c:pt idx="5">
                  <c:v>39903</c:v>
                </c:pt>
                <c:pt idx="6">
                  <c:v>39994</c:v>
                </c:pt>
              </c:numCache>
            </c:numRef>
          </c:cat>
          <c:val>
            <c:numRef>
              <c:f>ПЗ!$Y$2:$Y$8</c:f>
              <c:numCache>
                <c:formatCode>General</c:formatCode>
                <c:ptCount val="7"/>
                <c:pt idx="0">
                  <c:v>1.0790126378128541E-2</c:v>
                </c:pt>
                <c:pt idx="1">
                  <c:v>1.096789505669753E-2</c:v>
                </c:pt>
                <c:pt idx="2">
                  <c:v>1.136251411702072E-2</c:v>
                </c:pt>
                <c:pt idx="3">
                  <c:v>1.2981084231849394E-2</c:v>
                </c:pt>
                <c:pt idx="4">
                  <c:v>2.0753340276115518E-2</c:v>
                </c:pt>
                <c:pt idx="5">
                  <c:v>3.1491905682792157E-2</c:v>
                </c:pt>
                <c:pt idx="6">
                  <c:v>4.2173724994446292E-2</c:v>
                </c:pt>
              </c:numCache>
            </c:numRef>
          </c:val>
          <c:smooth val="1"/>
        </c:ser>
        <c:ser>
          <c:idx val="1"/>
          <c:order val="1"/>
          <c:tx>
            <c:v>ТОП 9 (без учета Сбербанка)</c:v>
          </c:tx>
          <c:spPr>
            <a:ln>
              <a:solidFill>
                <a:srgbClr val="00B0F0"/>
              </a:solidFill>
            </a:ln>
          </c:spPr>
          <c:marker>
            <c:symbol val="circle"/>
            <c:size val="3"/>
            <c:spPr>
              <a:solidFill>
                <a:srgbClr val="00B0F0"/>
              </a:solidFill>
              <a:ln>
                <a:solidFill>
                  <a:srgbClr val="00B0F0"/>
                </a:solidFill>
              </a:ln>
            </c:spPr>
          </c:marker>
          <c:val>
            <c:numRef>
              <c:f>ПЗ!$AC$2:$AC$8</c:f>
              <c:numCache>
                <c:formatCode>General</c:formatCode>
                <c:ptCount val="7"/>
                <c:pt idx="0">
                  <c:v>1.1798549746086401E-2</c:v>
                </c:pt>
                <c:pt idx="1">
                  <c:v>1.2518088505834841E-2</c:v>
                </c:pt>
                <c:pt idx="2">
                  <c:v>1.2855735264869229E-2</c:v>
                </c:pt>
                <c:pt idx="3">
                  <c:v>1.4997032963201488E-2</c:v>
                </c:pt>
                <c:pt idx="4">
                  <c:v>2.4674329901899467E-2</c:v>
                </c:pt>
                <c:pt idx="5">
                  <c:v>3.9522808424843743E-2</c:v>
                </c:pt>
                <c:pt idx="6">
                  <c:v>5.6976991317417368E-2</c:v>
                </c:pt>
              </c:numCache>
            </c:numRef>
          </c:val>
          <c:smooth val="1"/>
        </c:ser>
        <c:dLbls>
          <c:showLegendKey val="0"/>
          <c:showVal val="0"/>
          <c:showCatName val="0"/>
          <c:showSerName val="0"/>
          <c:showPercent val="0"/>
          <c:showBubbleSize val="0"/>
        </c:dLbls>
        <c:marker val="1"/>
        <c:smooth val="0"/>
        <c:axId val="212614144"/>
        <c:axId val="212624512"/>
      </c:lineChart>
      <c:dateAx>
        <c:axId val="212614144"/>
        <c:scaling>
          <c:orientation val="minMax"/>
        </c:scaling>
        <c:delete val="0"/>
        <c:axPos val="b"/>
        <c:majorGridlines>
          <c:spPr>
            <a:ln>
              <a:solidFill>
                <a:schemeClr val="accent1">
                  <a:lumMod val="20000"/>
                  <a:lumOff val="80000"/>
                </a:schemeClr>
              </a:solidFill>
            </a:ln>
          </c:spPr>
        </c:majorGridlines>
        <c:numFmt formatCode="[$-419]mm\ yyyy;@" sourceLinked="0"/>
        <c:majorTickMark val="none"/>
        <c:minorTickMark val="none"/>
        <c:tickLblPos val="nextTo"/>
        <c:crossAx val="212624512"/>
        <c:crosses val="autoZero"/>
        <c:auto val="1"/>
        <c:lblOffset val="100"/>
        <c:baseTimeUnit val="months"/>
        <c:majorUnit val="4"/>
        <c:majorTimeUnit val="months"/>
      </c:dateAx>
      <c:valAx>
        <c:axId val="212624512"/>
        <c:scaling>
          <c:orientation val="minMax"/>
          <c:min val="1.0000000000000004E-2"/>
        </c:scaling>
        <c:delete val="0"/>
        <c:axPos val="l"/>
        <c:majorGridlines>
          <c:spPr>
            <a:ln>
              <a:solidFill>
                <a:schemeClr val="accent1">
                  <a:lumMod val="20000"/>
                  <a:lumOff val="80000"/>
                </a:schemeClr>
              </a:solidFill>
            </a:ln>
          </c:spPr>
        </c:majorGridlines>
        <c:numFmt formatCode="General" sourceLinked="1"/>
        <c:majorTickMark val="none"/>
        <c:minorTickMark val="none"/>
        <c:tickLblPos val="nextTo"/>
        <c:crossAx val="212614144"/>
        <c:crosses val="autoZero"/>
        <c:crossBetween val="between"/>
        <c:majorUnit val="1.0000000000000004E-2"/>
      </c:valAx>
    </c:plotArea>
    <c:legend>
      <c:legendPos val="b"/>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63961729554444"/>
          <c:y val="5.3058636487643369E-2"/>
          <c:w val="0.77226965895318156"/>
          <c:h val="0.7121286183313108"/>
        </c:manualLayout>
      </c:layout>
      <c:lineChart>
        <c:grouping val="standard"/>
        <c:varyColors val="0"/>
        <c:ser>
          <c:idx val="0"/>
          <c:order val="0"/>
          <c:tx>
            <c:v>ТОП 10</c:v>
          </c:tx>
          <c:marker>
            <c:symbol val="circle"/>
            <c:size val="3"/>
            <c:spPr>
              <a:solidFill>
                <a:srgbClr val="0070C0"/>
              </a:solidFill>
            </c:spPr>
          </c:marker>
          <c:cat>
            <c:numRef>
              <c:f>ПЗ!$AG$10:$AG$16</c:f>
              <c:numCache>
                <c:formatCode>m/d/yyyy</c:formatCode>
                <c:ptCount val="7"/>
                <c:pt idx="0">
                  <c:v>41639</c:v>
                </c:pt>
                <c:pt idx="1">
                  <c:v>41729</c:v>
                </c:pt>
                <c:pt idx="2">
                  <c:v>41820</c:v>
                </c:pt>
                <c:pt idx="3">
                  <c:v>41912</c:v>
                </c:pt>
                <c:pt idx="4">
                  <c:v>42004</c:v>
                </c:pt>
                <c:pt idx="5">
                  <c:v>42094</c:v>
                </c:pt>
                <c:pt idx="6">
                  <c:v>42185</c:v>
                </c:pt>
              </c:numCache>
            </c:numRef>
          </c:cat>
          <c:val>
            <c:numRef>
              <c:f>ПЗ!$AH$10:$AH$16</c:f>
              <c:numCache>
                <c:formatCode>General</c:formatCode>
                <c:ptCount val="7"/>
                <c:pt idx="0">
                  <c:v>4.0241359968549058E-2</c:v>
                </c:pt>
                <c:pt idx="1">
                  <c:v>4.1371894499102606E-2</c:v>
                </c:pt>
                <c:pt idx="2">
                  <c:v>4.3093949204460462E-2</c:v>
                </c:pt>
                <c:pt idx="3">
                  <c:v>4.2489608576296967E-2</c:v>
                </c:pt>
                <c:pt idx="4">
                  <c:v>4.2231727874549381E-2</c:v>
                </c:pt>
                <c:pt idx="5">
                  <c:v>4.7845583253728771E-2</c:v>
                </c:pt>
                <c:pt idx="6">
                  <c:v>5.5094969374187425E-2</c:v>
                </c:pt>
              </c:numCache>
            </c:numRef>
          </c:val>
          <c:smooth val="1"/>
        </c:ser>
        <c:ser>
          <c:idx val="1"/>
          <c:order val="1"/>
          <c:tx>
            <c:v>ТОП 9 (без учета СБербанка)</c:v>
          </c:tx>
          <c:spPr>
            <a:ln>
              <a:solidFill>
                <a:srgbClr val="00B0F0"/>
              </a:solidFill>
            </a:ln>
          </c:spPr>
          <c:marker>
            <c:symbol val="circle"/>
            <c:size val="3"/>
            <c:spPr>
              <a:solidFill>
                <a:srgbClr val="00B0F0"/>
              </a:solidFill>
              <a:ln>
                <a:solidFill>
                  <a:srgbClr val="00B0F0"/>
                </a:solidFill>
              </a:ln>
            </c:spPr>
          </c:marker>
          <c:cat>
            <c:numRef>
              <c:f>ПЗ!$AG$10:$AG$16</c:f>
              <c:numCache>
                <c:formatCode>m/d/yyyy</c:formatCode>
                <c:ptCount val="7"/>
                <c:pt idx="0">
                  <c:v>41639</c:v>
                </c:pt>
                <c:pt idx="1">
                  <c:v>41729</c:v>
                </c:pt>
                <c:pt idx="2">
                  <c:v>41820</c:v>
                </c:pt>
                <c:pt idx="3">
                  <c:v>41912</c:v>
                </c:pt>
                <c:pt idx="4">
                  <c:v>42004</c:v>
                </c:pt>
                <c:pt idx="5">
                  <c:v>42094</c:v>
                </c:pt>
                <c:pt idx="6">
                  <c:v>42185</c:v>
                </c:pt>
              </c:numCache>
            </c:numRef>
          </c:cat>
          <c:val>
            <c:numRef>
              <c:f>ПЗ!$AI$10:$AI$16</c:f>
              <c:numCache>
                <c:formatCode>General</c:formatCode>
                <c:ptCount val="7"/>
                <c:pt idx="0">
                  <c:v>5.7322510105207537E-2</c:v>
                </c:pt>
                <c:pt idx="1">
                  <c:v>5.8527163680502765E-2</c:v>
                </c:pt>
                <c:pt idx="2">
                  <c:v>6.2174867257627872E-2</c:v>
                </c:pt>
                <c:pt idx="3">
                  <c:v>6.1345887082901063E-2</c:v>
                </c:pt>
                <c:pt idx="4">
                  <c:v>6.4159180963072049E-2</c:v>
                </c:pt>
                <c:pt idx="5">
                  <c:v>7.0067552693537954E-2</c:v>
                </c:pt>
                <c:pt idx="6">
                  <c:v>7.88412290220835E-2</c:v>
                </c:pt>
              </c:numCache>
            </c:numRef>
          </c:val>
          <c:smooth val="1"/>
        </c:ser>
        <c:dLbls>
          <c:showLegendKey val="0"/>
          <c:showVal val="0"/>
          <c:showCatName val="0"/>
          <c:showSerName val="0"/>
          <c:showPercent val="0"/>
          <c:showBubbleSize val="0"/>
        </c:dLbls>
        <c:marker val="1"/>
        <c:smooth val="0"/>
        <c:axId val="212640896"/>
        <c:axId val="212642816"/>
      </c:lineChart>
      <c:dateAx>
        <c:axId val="212640896"/>
        <c:scaling>
          <c:orientation val="minMax"/>
        </c:scaling>
        <c:delete val="0"/>
        <c:axPos val="b"/>
        <c:majorGridlines>
          <c:spPr>
            <a:ln>
              <a:solidFill>
                <a:schemeClr val="accent1">
                  <a:lumMod val="20000"/>
                  <a:lumOff val="80000"/>
                </a:schemeClr>
              </a:solidFill>
            </a:ln>
          </c:spPr>
        </c:majorGridlines>
        <c:numFmt formatCode="[$-419]mm\ yyyy;@" sourceLinked="0"/>
        <c:majorTickMark val="none"/>
        <c:minorTickMark val="none"/>
        <c:tickLblPos val="nextTo"/>
        <c:crossAx val="212642816"/>
        <c:crosses val="autoZero"/>
        <c:auto val="1"/>
        <c:lblOffset val="100"/>
        <c:baseTimeUnit val="months"/>
        <c:majorUnit val="4"/>
        <c:majorTimeUnit val="months"/>
      </c:dateAx>
      <c:valAx>
        <c:axId val="212642816"/>
        <c:scaling>
          <c:orientation val="minMax"/>
          <c:max val="8.0000000000000029E-2"/>
          <c:min val="3.0000000000000009E-2"/>
        </c:scaling>
        <c:delete val="0"/>
        <c:axPos val="l"/>
        <c:majorGridlines>
          <c:spPr>
            <a:ln>
              <a:solidFill>
                <a:schemeClr val="accent1">
                  <a:lumMod val="20000"/>
                  <a:lumOff val="80000"/>
                </a:schemeClr>
              </a:solidFill>
            </a:ln>
          </c:spPr>
        </c:majorGridlines>
        <c:numFmt formatCode="#,##0.00" sourceLinked="0"/>
        <c:majorTickMark val="none"/>
        <c:minorTickMark val="none"/>
        <c:tickLblPos val="nextTo"/>
        <c:crossAx val="212640896"/>
        <c:crosses val="autoZero"/>
        <c:crossBetween val="midCat"/>
        <c:majorUnit val="1.0000000000000004E-2"/>
      </c:valAx>
    </c:plotArea>
    <c:legend>
      <c:legendPos val="b"/>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ТОП 10</c:v>
          </c:tx>
          <c:spPr>
            <a:ln>
              <a:solidFill>
                <a:srgbClr val="0070C0"/>
              </a:solidFill>
            </a:ln>
          </c:spPr>
          <c:marker>
            <c:symbol val="circle"/>
            <c:size val="3"/>
            <c:spPr>
              <a:solidFill>
                <a:srgbClr val="0070C0"/>
              </a:solidFill>
            </c:spPr>
          </c:marker>
          <c:cat>
            <c:numRef>
              <c:f>ПЗ!$A$32:$A$38</c:f>
              <c:numCache>
                <c:formatCode>m/d/yyyy</c:formatCode>
                <c:ptCount val="7"/>
                <c:pt idx="0">
                  <c:v>39447</c:v>
                </c:pt>
                <c:pt idx="1">
                  <c:v>39538</c:v>
                </c:pt>
                <c:pt idx="2">
                  <c:v>39629</c:v>
                </c:pt>
                <c:pt idx="3">
                  <c:v>39721</c:v>
                </c:pt>
                <c:pt idx="4">
                  <c:v>39813</c:v>
                </c:pt>
                <c:pt idx="5">
                  <c:v>39903</c:v>
                </c:pt>
                <c:pt idx="6">
                  <c:v>39994</c:v>
                </c:pt>
              </c:numCache>
            </c:numRef>
          </c:cat>
          <c:val>
            <c:numRef>
              <c:f>ПЗ!$Y$32:$Y$38</c:f>
              <c:numCache>
                <c:formatCode>General</c:formatCode>
                <c:ptCount val="7"/>
                <c:pt idx="0">
                  <c:v>0.32034804458920707</c:v>
                </c:pt>
                <c:pt idx="1">
                  <c:v>0.33972323593014764</c:v>
                </c:pt>
                <c:pt idx="2">
                  <c:v>0.35238071807309324</c:v>
                </c:pt>
                <c:pt idx="3">
                  <c:v>0.38992200790706</c:v>
                </c:pt>
                <c:pt idx="4">
                  <c:v>0.41935234803850979</c:v>
                </c:pt>
                <c:pt idx="5">
                  <c:v>0.47343819278389881</c:v>
                </c:pt>
                <c:pt idx="6">
                  <c:v>0.54883703615657076</c:v>
                </c:pt>
              </c:numCache>
            </c:numRef>
          </c:val>
          <c:smooth val="1"/>
        </c:ser>
        <c:ser>
          <c:idx val="1"/>
          <c:order val="1"/>
          <c:tx>
            <c:v>ТОП 9 (без учета Сбербанка)</c:v>
          </c:tx>
          <c:spPr>
            <a:ln>
              <a:solidFill>
                <a:srgbClr val="00B0F0"/>
              </a:solidFill>
            </a:ln>
          </c:spPr>
          <c:marker>
            <c:symbol val="circle"/>
            <c:size val="3"/>
            <c:spPr>
              <a:solidFill>
                <a:srgbClr val="00B0F0"/>
              </a:solidFill>
              <a:ln>
                <a:solidFill>
                  <a:srgbClr val="00B0F0"/>
                </a:solidFill>
              </a:ln>
            </c:spPr>
          </c:marker>
          <c:val>
            <c:numRef>
              <c:f>ПЗ!$AC$32:$AC$38</c:f>
              <c:numCache>
                <c:formatCode>General</c:formatCode>
                <c:ptCount val="7"/>
                <c:pt idx="0">
                  <c:v>0.30730924386114006</c:v>
                </c:pt>
                <c:pt idx="1">
                  <c:v>0.33972156750990545</c:v>
                </c:pt>
                <c:pt idx="2">
                  <c:v>0.35001103229826869</c:v>
                </c:pt>
                <c:pt idx="3">
                  <c:v>0.41948623256140311</c:v>
                </c:pt>
                <c:pt idx="4">
                  <c:v>0.46384569527719199</c:v>
                </c:pt>
                <c:pt idx="5">
                  <c:v>0.55706896792204841</c:v>
                </c:pt>
                <c:pt idx="6">
                  <c:v>0.75559563533710972</c:v>
                </c:pt>
              </c:numCache>
            </c:numRef>
          </c:val>
          <c:smooth val="1"/>
        </c:ser>
        <c:dLbls>
          <c:showLegendKey val="0"/>
          <c:showVal val="0"/>
          <c:showCatName val="0"/>
          <c:showSerName val="0"/>
          <c:showPercent val="0"/>
          <c:showBubbleSize val="0"/>
        </c:dLbls>
        <c:marker val="1"/>
        <c:smooth val="0"/>
        <c:axId val="213453824"/>
        <c:axId val="213460096"/>
      </c:lineChart>
      <c:dateAx>
        <c:axId val="213453824"/>
        <c:scaling>
          <c:orientation val="minMax"/>
          <c:max val="39994"/>
          <c:min val="39447"/>
        </c:scaling>
        <c:delete val="0"/>
        <c:axPos val="b"/>
        <c:majorGridlines>
          <c:spPr>
            <a:ln>
              <a:solidFill>
                <a:schemeClr val="accent1">
                  <a:lumMod val="20000"/>
                  <a:lumOff val="80000"/>
                </a:schemeClr>
              </a:solidFill>
            </a:ln>
          </c:spPr>
        </c:majorGridlines>
        <c:numFmt formatCode="[$-419]mm\ yyyy;@" sourceLinked="0"/>
        <c:majorTickMark val="none"/>
        <c:minorTickMark val="none"/>
        <c:tickLblPos val="nextTo"/>
        <c:crossAx val="213460096"/>
        <c:crosses val="autoZero"/>
        <c:auto val="1"/>
        <c:lblOffset val="100"/>
        <c:baseTimeUnit val="months"/>
        <c:majorUnit val="4"/>
        <c:majorTimeUnit val="months"/>
      </c:dateAx>
      <c:valAx>
        <c:axId val="213460096"/>
        <c:scaling>
          <c:orientation val="minMax"/>
          <c:min val="0.3000000000000001"/>
        </c:scaling>
        <c:delete val="0"/>
        <c:axPos val="l"/>
        <c:majorGridlines>
          <c:spPr>
            <a:ln>
              <a:solidFill>
                <a:schemeClr val="accent1">
                  <a:lumMod val="20000"/>
                  <a:lumOff val="80000"/>
                </a:schemeClr>
              </a:solidFill>
            </a:ln>
          </c:spPr>
        </c:majorGridlines>
        <c:numFmt formatCode="General" sourceLinked="1"/>
        <c:majorTickMark val="none"/>
        <c:minorTickMark val="none"/>
        <c:tickLblPos val="nextTo"/>
        <c:crossAx val="213453824"/>
        <c:crosses val="autoZero"/>
        <c:crossBetween val="between"/>
        <c:majorUnit val="0.1"/>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Тренд доходности ПФ США (DB) в 1986-2014 гг.</c:v>
          </c:tx>
          <c:spPr>
            <a:ln>
              <a:solidFill>
                <a:srgbClr val="006C4E"/>
              </a:solidFill>
            </a:ln>
          </c:spPr>
          <c:marker>
            <c:symbol val="none"/>
          </c:marker>
          <c:dPt>
            <c:idx val="17"/>
            <c:bubble3D val="0"/>
            <c:spPr>
              <a:ln>
                <a:solidFill>
                  <a:srgbClr val="006C4E"/>
                </a:solidFill>
              </a:ln>
            </c:spPr>
          </c:dPt>
          <c:dPt>
            <c:idx val="23"/>
            <c:bubble3D val="0"/>
            <c:spPr>
              <a:ln>
                <a:solidFill>
                  <a:srgbClr val="006C4E"/>
                </a:solidFill>
              </a:ln>
            </c:spPr>
          </c:dPt>
          <c:dPt>
            <c:idx val="24"/>
            <c:bubble3D val="0"/>
          </c:dPt>
          <c:dPt>
            <c:idx val="25"/>
            <c:bubble3D val="0"/>
            <c:spPr>
              <a:ln>
                <a:solidFill>
                  <a:srgbClr val="006C4E"/>
                </a:solidFill>
              </a:ln>
            </c:spPr>
          </c:dPt>
          <c:dPt>
            <c:idx val="27"/>
            <c:bubble3D val="0"/>
            <c:spPr>
              <a:ln>
                <a:solidFill>
                  <a:srgbClr val="FF9900"/>
                </a:solidFill>
                <a:prstDash val="sysDot"/>
              </a:ln>
            </c:spPr>
          </c:dPt>
          <c:dPt>
            <c:idx val="28"/>
            <c:bubble3D val="0"/>
            <c:spPr>
              <a:ln>
                <a:solidFill>
                  <a:srgbClr val="FF9900"/>
                </a:solidFill>
                <a:prstDash val="sysDot"/>
              </a:ln>
            </c:spPr>
          </c:dPt>
          <c:trendline>
            <c:spPr>
              <a:ln w="25400">
                <a:solidFill>
                  <a:srgbClr val="000000"/>
                </a:solidFill>
                <a:prstDash val="solid"/>
              </a:ln>
            </c:spPr>
            <c:trendlineType val="linear"/>
            <c:dispRSqr val="0"/>
            <c:dispEq val="0"/>
          </c:trendline>
          <c:cat>
            <c:numRef>
              <c:f>OECD!$A$37:$A$65</c:f>
              <c:numCache>
                <c:formatCode>General</c:formatCode>
                <c:ptCount val="29"/>
                <c:pt idx="0">
                  <c:v>1986</c:v>
                </c:pt>
                <c:pt idx="1">
                  <c:v>1987</c:v>
                </c:pt>
                <c:pt idx="2">
                  <c:v>1988</c:v>
                </c:pt>
                <c:pt idx="3">
                  <c:v>1989</c:v>
                </c:pt>
                <c:pt idx="4">
                  <c:v>1990</c:v>
                </c:pt>
                <c:pt idx="5">
                  <c:v>1991</c:v>
                </c:pt>
                <c:pt idx="6">
                  <c:v>1992</c:v>
                </c:pt>
                <c:pt idx="7">
                  <c:v>1993</c:v>
                </c:pt>
                <c:pt idx="8">
                  <c:v>1994</c:v>
                </c:pt>
                <c:pt idx="9">
                  <c:v>1995</c:v>
                </c:pt>
                <c:pt idx="10">
                  <c:v>1996</c:v>
                </c:pt>
                <c:pt idx="11">
                  <c:v>1997</c:v>
                </c:pt>
                <c:pt idx="12">
                  <c:v>1998</c:v>
                </c:pt>
                <c:pt idx="13">
                  <c:v>1999</c:v>
                </c:pt>
                <c:pt idx="14">
                  <c:v>2000</c:v>
                </c:pt>
                <c:pt idx="15">
                  <c:v>2001</c:v>
                </c:pt>
                <c:pt idx="16">
                  <c:v>2002</c:v>
                </c:pt>
                <c:pt idx="17">
                  <c:v>2003</c:v>
                </c:pt>
                <c:pt idx="18">
                  <c:v>2004</c:v>
                </c:pt>
                <c:pt idx="19">
                  <c:v>2005</c:v>
                </c:pt>
                <c:pt idx="20">
                  <c:v>2006</c:v>
                </c:pt>
                <c:pt idx="21">
                  <c:v>2007</c:v>
                </c:pt>
                <c:pt idx="22">
                  <c:v>2008</c:v>
                </c:pt>
                <c:pt idx="23">
                  <c:v>2009</c:v>
                </c:pt>
                <c:pt idx="24">
                  <c:v>2010</c:v>
                </c:pt>
                <c:pt idx="25">
                  <c:v>2011</c:v>
                </c:pt>
                <c:pt idx="26">
                  <c:v>2012</c:v>
                </c:pt>
                <c:pt idx="27">
                  <c:v>2013</c:v>
                </c:pt>
                <c:pt idx="28">
                  <c:v>2014</c:v>
                </c:pt>
              </c:numCache>
            </c:numRef>
          </c:cat>
          <c:val>
            <c:numRef>
              <c:f>OECD!$C$37:$C$65</c:f>
              <c:numCache>
                <c:formatCode>0.00%</c:formatCode>
                <c:ptCount val="29"/>
                <c:pt idx="0">
                  <c:v>0.11972522080471037</c:v>
                </c:pt>
                <c:pt idx="1">
                  <c:v>7.7220077220079286E-3</c:v>
                </c:pt>
                <c:pt idx="2">
                  <c:v>7.6849183477425642E-2</c:v>
                </c:pt>
                <c:pt idx="3">
                  <c:v>6.9656488549618256E-2</c:v>
                </c:pt>
                <c:pt idx="4">
                  <c:v>-1.8026565464895672E-2</c:v>
                </c:pt>
                <c:pt idx="5">
                  <c:v>0.1401151631477926</c:v>
                </c:pt>
                <c:pt idx="6">
                  <c:v>5.1456310679611539E-2</c:v>
                </c:pt>
                <c:pt idx="7">
                  <c:v>7.2815533980582492E-2</c:v>
                </c:pt>
                <c:pt idx="8">
                  <c:v>-3.8986354775827348E-3</c:v>
                </c:pt>
                <c:pt idx="9">
                  <c:v>0.18093385214007784</c:v>
                </c:pt>
                <c:pt idx="10">
                  <c:v>0.11456310679611657</c:v>
                </c:pt>
                <c:pt idx="11">
                  <c:v>0.14173998044965797</c:v>
                </c:pt>
                <c:pt idx="12">
                  <c:v>0.12401574803149608</c:v>
                </c:pt>
                <c:pt idx="13">
                  <c:v>0.11350293542074352</c:v>
                </c:pt>
                <c:pt idx="14">
                  <c:v>-3.6750483558994351E-2</c:v>
                </c:pt>
                <c:pt idx="15">
                  <c:v>-6.9066147859922156E-2</c:v>
                </c:pt>
                <c:pt idx="16">
                  <c:v>-9.3503937007874072E-2</c:v>
                </c:pt>
                <c:pt idx="17">
                  <c:v>0.15835777126099715</c:v>
                </c:pt>
                <c:pt idx="18">
                  <c:v>8.7633885102239586E-2</c:v>
                </c:pt>
                <c:pt idx="19">
                  <c:v>5.0290135396518165E-2</c:v>
                </c:pt>
                <c:pt idx="20">
                  <c:v>9.011627906976738E-2</c:v>
                </c:pt>
                <c:pt idx="21">
                  <c:v>6.5175097276264582E-2</c:v>
                </c:pt>
                <c:pt idx="22">
                  <c:v>-0.22061657032755289</c:v>
                </c:pt>
                <c:pt idx="23">
                  <c:v>0.12650602409638556</c:v>
                </c:pt>
                <c:pt idx="24">
                  <c:v>0.1141732283464567</c:v>
                </c:pt>
                <c:pt idx="25">
                  <c:v>2.1317829457364379E-2</c:v>
                </c:pt>
                <c:pt idx="26">
                  <c:v>9.2066601371204815E-2</c:v>
                </c:pt>
                <c:pt idx="27">
                  <c:v>0.13589999999999999</c:v>
                </c:pt>
                <c:pt idx="28">
                  <c:v>5.96E-2</c:v>
                </c:pt>
              </c:numCache>
            </c:numRef>
          </c:val>
          <c:smooth val="0"/>
        </c:ser>
        <c:dLbls>
          <c:showLegendKey val="0"/>
          <c:showVal val="0"/>
          <c:showCatName val="0"/>
          <c:showSerName val="0"/>
          <c:showPercent val="0"/>
          <c:showBubbleSize val="0"/>
        </c:dLbls>
        <c:marker val="1"/>
        <c:smooth val="0"/>
        <c:axId val="240002176"/>
        <c:axId val="240003712"/>
      </c:lineChart>
      <c:catAx>
        <c:axId val="240002176"/>
        <c:scaling>
          <c:orientation val="minMax"/>
        </c:scaling>
        <c:delete val="0"/>
        <c:axPos val="b"/>
        <c:numFmt formatCode="General" sourceLinked="1"/>
        <c:majorTickMark val="out"/>
        <c:minorTickMark val="none"/>
        <c:tickLblPos val="low"/>
        <c:txPr>
          <a:bodyPr rot="-5400000"/>
          <a:lstStyle/>
          <a:p>
            <a:pPr>
              <a:defRPr>
                <a:latin typeface="Calibri" panose="020F0502020204030204" pitchFamily="34" charset="0"/>
              </a:defRPr>
            </a:pPr>
            <a:endParaRPr lang="ru-RU"/>
          </a:p>
        </c:txPr>
        <c:crossAx val="240003712"/>
        <c:crosses val="autoZero"/>
        <c:auto val="1"/>
        <c:lblAlgn val="ctr"/>
        <c:lblOffset val="100"/>
        <c:noMultiLvlLbl val="0"/>
      </c:catAx>
      <c:valAx>
        <c:axId val="240003712"/>
        <c:scaling>
          <c:orientation val="minMax"/>
        </c:scaling>
        <c:delete val="0"/>
        <c:axPos val="l"/>
        <c:majorGridlines>
          <c:spPr>
            <a:ln>
              <a:solidFill>
                <a:schemeClr val="bg1">
                  <a:lumMod val="50000"/>
                </a:schemeClr>
              </a:solidFill>
              <a:prstDash val="dash"/>
            </a:ln>
          </c:spPr>
        </c:majorGridlines>
        <c:title>
          <c:tx>
            <c:rich>
              <a:bodyPr rot="-5400000" vert="horz"/>
              <a:lstStyle/>
              <a:p>
                <a:pPr>
                  <a:defRPr sz="800" b="0">
                    <a:latin typeface="Calibri" panose="020F0502020204030204" pitchFamily="34" charset="0"/>
                  </a:defRPr>
                </a:pPr>
                <a:r>
                  <a:rPr lang="ru-RU" sz="800" b="0">
                    <a:latin typeface="Calibri" panose="020F0502020204030204" pitchFamily="34" charset="0"/>
                  </a:rPr>
                  <a:t>Доходность годовая,%</a:t>
                </a:r>
              </a:p>
            </c:rich>
          </c:tx>
          <c:overlay val="0"/>
        </c:title>
        <c:numFmt formatCode="0%" sourceLinked="0"/>
        <c:majorTickMark val="out"/>
        <c:minorTickMark val="none"/>
        <c:tickLblPos val="nextTo"/>
        <c:txPr>
          <a:bodyPr/>
          <a:lstStyle/>
          <a:p>
            <a:pPr>
              <a:defRPr>
                <a:latin typeface="Calibri" panose="020F0502020204030204" pitchFamily="34" charset="0"/>
              </a:defRPr>
            </a:pPr>
            <a:endParaRPr lang="ru-RU"/>
          </a:p>
        </c:txPr>
        <c:crossAx val="240002176"/>
        <c:crosses val="autoZero"/>
        <c:crossBetween val="between"/>
      </c:valAx>
    </c:plotArea>
    <c:plotVisOnly val="1"/>
    <c:dispBlanksAs val="gap"/>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v>ТОП 10</c:v>
          </c:tx>
          <c:spPr>
            <a:ln>
              <a:solidFill>
                <a:srgbClr val="0070C0"/>
              </a:solidFill>
            </a:ln>
          </c:spPr>
          <c:marker>
            <c:symbol val="circle"/>
            <c:size val="3"/>
          </c:marker>
          <c:cat>
            <c:numRef>
              <c:f>ПЗ!$AG$32:$AG$38</c:f>
              <c:numCache>
                <c:formatCode>m/d/yyyy</c:formatCode>
                <c:ptCount val="7"/>
                <c:pt idx="0">
                  <c:v>41639</c:v>
                </c:pt>
                <c:pt idx="1">
                  <c:v>41729</c:v>
                </c:pt>
                <c:pt idx="2">
                  <c:v>41820</c:v>
                </c:pt>
                <c:pt idx="3">
                  <c:v>41912</c:v>
                </c:pt>
                <c:pt idx="4">
                  <c:v>42004</c:v>
                </c:pt>
                <c:pt idx="5">
                  <c:v>42094</c:v>
                </c:pt>
                <c:pt idx="6">
                  <c:v>42185</c:v>
                </c:pt>
              </c:numCache>
            </c:numRef>
          </c:cat>
          <c:val>
            <c:numRef>
              <c:f>ПЗ!$AH$32:$AH$38</c:f>
              <c:numCache>
                <c:formatCode>General</c:formatCode>
                <c:ptCount val="7"/>
                <c:pt idx="0">
                  <c:v>0.59067385148180773</c:v>
                </c:pt>
                <c:pt idx="1">
                  <c:v>0.59307697547846983</c:v>
                </c:pt>
                <c:pt idx="2">
                  <c:v>0.6085689398337083</c:v>
                </c:pt>
                <c:pt idx="3">
                  <c:v>0.61164086335989787</c:v>
                </c:pt>
                <c:pt idx="4">
                  <c:v>0.60476324124997927</c:v>
                </c:pt>
                <c:pt idx="5">
                  <c:v>0.64141472082240292</c:v>
                </c:pt>
                <c:pt idx="6">
                  <c:v>0.66982545528347281</c:v>
                </c:pt>
              </c:numCache>
            </c:numRef>
          </c:val>
          <c:smooth val="1"/>
        </c:ser>
        <c:ser>
          <c:idx val="1"/>
          <c:order val="1"/>
          <c:tx>
            <c:v>ТОП 9 (без учета Сбербанка)</c:v>
          </c:tx>
          <c:spPr>
            <a:ln>
              <a:solidFill>
                <a:srgbClr val="00B0F0"/>
              </a:solidFill>
            </a:ln>
          </c:spPr>
          <c:marker>
            <c:symbol val="circle"/>
            <c:size val="3"/>
            <c:spPr>
              <a:solidFill>
                <a:srgbClr val="00B0F0"/>
              </a:solidFill>
              <a:ln>
                <a:solidFill>
                  <a:srgbClr val="00B0F0"/>
                </a:solidFill>
              </a:ln>
            </c:spPr>
          </c:marker>
          <c:cat>
            <c:numRef>
              <c:f>ПЗ!$AG$32:$AG$38</c:f>
              <c:numCache>
                <c:formatCode>m/d/yyyy</c:formatCode>
                <c:ptCount val="7"/>
                <c:pt idx="0">
                  <c:v>41639</c:v>
                </c:pt>
                <c:pt idx="1">
                  <c:v>41729</c:v>
                </c:pt>
                <c:pt idx="2">
                  <c:v>41820</c:v>
                </c:pt>
                <c:pt idx="3">
                  <c:v>41912</c:v>
                </c:pt>
                <c:pt idx="4">
                  <c:v>42004</c:v>
                </c:pt>
                <c:pt idx="5">
                  <c:v>42094</c:v>
                </c:pt>
                <c:pt idx="6">
                  <c:v>42185</c:v>
                </c:pt>
              </c:numCache>
            </c:numRef>
          </c:cat>
          <c:val>
            <c:numRef>
              <c:f>ПЗ!$AI$32:$AI$38</c:f>
              <c:numCache>
                <c:formatCode>General</c:formatCode>
                <c:ptCount val="7"/>
                <c:pt idx="0">
                  <c:v>0.69931122995338379</c:v>
                </c:pt>
                <c:pt idx="1">
                  <c:v>0.6910928292120877</c:v>
                </c:pt>
                <c:pt idx="2">
                  <c:v>0.72736202308094855</c:v>
                </c:pt>
                <c:pt idx="3">
                  <c:v>0.73266004108546268</c:v>
                </c:pt>
                <c:pt idx="4">
                  <c:v>0.75618082343071802</c:v>
                </c:pt>
                <c:pt idx="5">
                  <c:v>0.77720378631326925</c:v>
                </c:pt>
                <c:pt idx="6">
                  <c:v>0.80332832950697253</c:v>
                </c:pt>
              </c:numCache>
            </c:numRef>
          </c:val>
          <c:smooth val="1"/>
        </c:ser>
        <c:dLbls>
          <c:showLegendKey val="0"/>
          <c:showVal val="0"/>
          <c:showCatName val="0"/>
          <c:showSerName val="0"/>
          <c:showPercent val="0"/>
          <c:showBubbleSize val="0"/>
        </c:dLbls>
        <c:marker val="1"/>
        <c:smooth val="0"/>
        <c:axId val="213501056"/>
        <c:axId val="213502976"/>
      </c:lineChart>
      <c:dateAx>
        <c:axId val="213501056"/>
        <c:scaling>
          <c:orientation val="minMax"/>
          <c:max val="42185"/>
          <c:min val="41639"/>
        </c:scaling>
        <c:delete val="0"/>
        <c:axPos val="b"/>
        <c:majorGridlines>
          <c:spPr>
            <a:ln>
              <a:solidFill>
                <a:schemeClr val="accent1">
                  <a:lumMod val="20000"/>
                  <a:lumOff val="80000"/>
                </a:schemeClr>
              </a:solidFill>
            </a:ln>
          </c:spPr>
        </c:majorGridlines>
        <c:numFmt formatCode="[$-419]mm\ yyyy;@" sourceLinked="0"/>
        <c:majorTickMark val="none"/>
        <c:minorTickMark val="none"/>
        <c:tickLblPos val="nextTo"/>
        <c:crossAx val="213502976"/>
        <c:crosses val="autoZero"/>
        <c:auto val="1"/>
        <c:lblOffset val="100"/>
        <c:baseTimeUnit val="months"/>
        <c:majorUnit val="4"/>
        <c:majorTimeUnit val="months"/>
      </c:dateAx>
      <c:valAx>
        <c:axId val="213502976"/>
        <c:scaling>
          <c:orientation val="minMax"/>
          <c:min val="0.55000000000000004"/>
        </c:scaling>
        <c:delete val="0"/>
        <c:axPos val="l"/>
        <c:majorGridlines>
          <c:spPr>
            <a:ln>
              <a:solidFill>
                <a:schemeClr val="accent1">
                  <a:lumMod val="20000"/>
                  <a:lumOff val="80000"/>
                </a:schemeClr>
              </a:solidFill>
            </a:ln>
          </c:spPr>
        </c:majorGridlines>
        <c:numFmt formatCode="General" sourceLinked="1"/>
        <c:majorTickMark val="none"/>
        <c:minorTickMark val="none"/>
        <c:tickLblPos val="nextTo"/>
        <c:crossAx val="213501056"/>
        <c:crosses val="autoZero"/>
        <c:crossBetween val="between"/>
      </c:valAx>
    </c:plotArea>
    <c:legend>
      <c:legendPos val="b"/>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368198031343002E-2"/>
          <c:y val="5.362950263203884E-2"/>
          <c:w val="0.87813387682651733"/>
          <c:h val="0.76786678263209307"/>
        </c:manualLayout>
      </c:layout>
      <c:lineChart>
        <c:grouping val="standard"/>
        <c:varyColors val="0"/>
        <c:ser>
          <c:idx val="0"/>
          <c:order val="0"/>
          <c:tx>
            <c:strRef>
              <c:f>Рейтинги!$R$17</c:f>
              <c:strCache>
                <c:ptCount val="1"/>
                <c:pt idx="0">
                  <c:v>CVAR (95)</c:v>
                </c:pt>
              </c:strCache>
            </c:strRef>
          </c:tx>
          <c:spPr>
            <a:ln w="22225" cap="rnd">
              <a:solidFill>
                <a:srgbClr val="0070C0"/>
              </a:solidFill>
              <a:round/>
            </a:ln>
            <a:effectLst/>
          </c:spPr>
          <c:marker>
            <c:symbol val="circle"/>
            <c:size val="3"/>
            <c:spPr>
              <a:solidFill>
                <a:srgbClr val="0070C0"/>
              </a:solidFill>
              <a:ln>
                <a:solidFill>
                  <a:srgbClr val="0070C0"/>
                </a:solidFill>
              </a:ln>
            </c:spPr>
          </c:marker>
          <c:cat>
            <c:numRef>
              <c:f>Рейтинги!$S$16:$W$16</c:f>
              <c:numCache>
                <c:formatCode>m/d/yyyy</c:formatCode>
                <c:ptCount val="5"/>
                <c:pt idx="0">
                  <c:v>41730</c:v>
                </c:pt>
                <c:pt idx="1">
                  <c:v>41822</c:v>
                </c:pt>
                <c:pt idx="2">
                  <c:v>41932</c:v>
                </c:pt>
                <c:pt idx="3">
                  <c:v>41996</c:v>
                </c:pt>
                <c:pt idx="4">
                  <c:v>42059</c:v>
                </c:pt>
              </c:numCache>
            </c:numRef>
          </c:cat>
          <c:val>
            <c:numRef>
              <c:f>Рейтинги!$S$17:$W$17</c:f>
              <c:numCache>
                <c:formatCode>General</c:formatCode>
                <c:ptCount val="5"/>
                <c:pt idx="0">
                  <c:v>2.202208979007219E-2</c:v>
                </c:pt>
                <c:pt idx="1">
                  <c:v>2.2640078939134955E-2</c:v>
                </c:pt>
                <c:pt idx="2">
                  <c:v>2.6080815404121608E-2</c:v>
                </c:pt>
                <c:pt idx="3">
                  <c:v>3.1305472992265666E-2</c:v>
                </c:pt>
                <c:pt idx="4">
                  <c:v>3.6073283375890525E-2</c:v>
                </c:pt>
              </c:numCache>
            </c:numRef>
          </c:val>
          <c:smooth val="1"/>
        </c:ser>
        <c:ser>
          <c:idx val="1"/>
          <c:order val="1"/>
          <c:tx>
            <c:strRef>
              <c:f>Рейтинги!$R$18</c:f>
              <c:strCache>
                <c:ptCount val="1"/>
                <c:pt idx="0">
                  <c:v>CVAR (99)</c:v>
                </c:pt>
              </c:strCache>
            </c:strRef>
          </c:tx>
          <c:spPr>
            <a:ln w="22225" cap="rnd">
              <a:solidFill>
                <a:srgbClr val="00B0F0"/>
              </a:solidFill>
              <a:round/>
            </a:ln>
            <a:effectLst/>
          </c:spPr>
          <c:marker>
            <c:symbol val="circle"/>
            <c:size val="3"/>
            <c:spPr>
              <a:solidFill>
                <a:srgbClr val="00B0F0"/>
              </a:solidFill>
              <a:ln>
                <a:solidFill>
                  <a:srgbClr val="00B0F0"/>
                </a:solidFill>
              </a:ln>
            </c:spPr>
          </c:marker>
          <c:cat>
            <c:numRef>
              <c:f>Рейтинги!$S$16:$W$16</c:f>
              <c:numCache>
                <c:formatCode>m/d/yyyy</c:formatCode>
                <c:ptCount val="5"/>
                <c:pt idx="0">
                  <c:v>41730</c:v>
                </c:pt>
                <c:pt idx="1">
                  <c:v>41822</c:v>
                </c:pt>
                <c:pt idx="2">
                  <c:v>41932</c:v>
                </c:pt>
                <c:pt idx="3">
                  <c:v>41996</c:v>
                </c:pt>
                <c:pt idx="4">
                  <c:v>42059</c:v>
                </c:pt>
              </c:numCache>
            </c:numRef>
          </c:cat>
          <c:val>
            <c:numRef>
              <c:f>Рейтинги!$S$18:$W$18</c:f>
              <c:numCache>
                <c:formatCode>General</c:formatCode>
                <c:ptCount val="5"/>
                <c:pt idx="0">
                  <c:v>4.5037450664359747E-2</c:v>
                </c:pt>
                <c:pt idx="1">
                  <c:v>4.6373881136407627E-2</c:v>
                </c:pt>
                <c:pt idx="2">
                  <c:v>5.2914014164693692E-2</c:v>
                </c:pt>
                <c:pt idx="3">
                  <c:v>6.2831969186640482E-2</c:v>
                </c:pt>
                <c:pt idx="4">
                  <c:v>7.0474946579422146E-2</c:v>
                </c:pt>
              </c:numCache>
            </c:numRef>
          </c:val>
          <c:smooth val="1"/>
        </c:ser>
        <c:dLbls>
          <c:showLegendKey val="0"/>
          <c:showVal val="0"/>
          <c:showCatName val="0"/>
          <c:showSerName val="0"/>
          <c:showPercent val="0"/>
          <c:showBubbleSize val="0"/>
        </c:dLbls>
        <c:marker val="1"/>
        <c:smooth val="0"/>
        <c:axId val="213584896"/>
        <c:axId val="213599360"/>
      </c:lineChart>
      <c:dateAx>
        <c:axId val="213584896"/>
        <c:scaling>
          <c:orientation val="minMax"/>
        </c:scaling>
        <c:delete val="0"/>
        <c:axPos val="b"/>
        <c:majorGridlines>
          <c:spPr>
            <a:ln w="9525" cap="flat" cmpd="sng" algn="ctr">
              <a:solidFill>
                <a:schemeClr val="accent1">
                  <a:lumMod val="20000"/>
                  <a:lumOff val="80000"/>
                </a:schemeClr>
              </a:solidFill>
              <a:round/>
            </a:ln>
            <a:effectLst/>
          </c:spPr>
        </c:majorGridlines>
        <c:numFmt formatCode="[$-419]mm\ 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599360"/>
        <c:crosses val="autoZero"/>
        <c:auto val="1"/>
        <c:lblOffset val="100"/>
        <c:baseTimeUnit val="months"/>
        <c:majorUnit val="2"/>
        <c:majorTimeUnit val="months"/>
      </c:dateAx>
      <c:valAx>
        <c:axId val="213599360"/>
        <c:scaling>
          <c:orientation val="minMax"/>
          <c:max val="7.1000000000000008E-2"/>
          <c:min val="2.0000000000000007E-2"/>
        </c:scaling>
        <c:delete val="0"/>
        <c:axPos val="l"/>
        <c:majorGridlines>
          <c:spPr>
            <a:ln w="9525" cap="flat" cmpd="sng" algn="ctr">
              <a:solidFill>
                <a:schemeClr val="accent1">
                  <a:lumMod val="20000"/>
                  <a:lumOff val="8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35848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Чили</c:v>
          </c:tx>
          <c:spPr>
            <a:ln>
              <a:solidFill>
                <a:schemeClr val="bg1">
                  <a:lumMod val="50000"/>
                </a:schemeClr>
              </a:solidFill>
            </a:ln>
          </c:spPr>
          <c:marker>
            <c:symbol val="circle"/>
            <c:size val="7"/>
            <c:spPr>
              <a:solidFill>
                <a:schemeClr val="bg1"/>
              </a:solidFill>
              <a:ln w="25400" cap="rnd">
                <a:solidFill>
                  <a:schemeClr val="bg1">
                    <a:lumMod val="50000"/>
                  </a:schemeClr>
                </a:solidFill>
              </a:ln>
            </c:spPr>
          </c:marker>
          <c:cat>
            <c:numRef>
              <c:f>Лист2!$T$2:$AN$2</c:f>
              <c:numCache>
                <c:formatCode>General</c:formatCode>
                <c:ptCount val="21"/>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pt idx="20">
                  <c:v>2033</c:v>
                </c:pt>
              </c:numCache>
            </c:numRef>
          </c:cat>
          <c:val>
            <c:numRef>
              <c:f>Лист2!$T$7:$AN$7</c:f>
              <c:numCache>
                <c:formatCode>0.00</c:formatCode>
                <c:ptCount val="21"/>
                <c:pt idx="0">
                  <c:v>3.5229978882676076</c:v>
                </c:pt>
                <c:pt idx="1">
                  <c:v>3.3907863262518441</c:v>
                </c:pt>
                <c:pt idx="2">
                  <c:v>3.2759286236317204</c:v>
                </c:pt>
                <c:pt idx="3">
                  <c:v>3.1786512950468264</c:v>
                </c:pt>
                <c:pt idx="4">
                  <c:v>3.0949445367938737</c:v>
                </c:pt>
                <c:pt idx="5">
                  <c:v>3.0204233361441033</c:v>
                </c:pt>
                <c:pt idx="6">
                  <c:v>2.9496975751673054</c:v>
                </c:pt>
                <c:pt idx="7">
                  <c:v>2.8792696026406297</c:v>
                </c:pt>
                <c:pt idx="8">
                  <c:v>2.8091298210724225</c:v>
                </c:pt>
                <c:pt idx="9">
                  <c:v>2.7402855687157235</c:v>
                </c:pt>
                <c:pt idx="10">
                  <c:v>2.671972856915191</c:v>
                </c:pt>
                <c:pt idx="11">
                  <c:v>2.6034800087052354</c:v>
                </c:pt>
                <c:pt idx="12">
                  <c:v>2.5345272060188755</c:v>
                </c:pt>
                <c:pt idx="13">
                  <c:v>2.4650595567743032</c:v>
                </c:pt>
                <c:pt idx="14">
                  <c:v>2.3957328482939828</c:v>
                </c:pt>
                <c:pt idx="15">
                  <c:v>2.3278304908294802</c:v>
                </c:pt>
                <c:pt idx="16">
                  <c:v>2.2629000653167863</c:v>
                </c:pt>
                <c:pt idx="17">
                  <c:v>2.2020265034344146</c:v>
                </c:pt>
                <c:pt idx="18">
                  <c:v>2.1453683474088328</c:v>
                </c:pt>
                <c:pt idx="19">
                  <c:v>2.0928652126135843</c:v>
                </c:pt>
                <c:pt idx="20">
                  <c:v>2.0449922855034548</c:v>
                </c:pt>
              </c:numCache>
            </c:numRef>
          </c:val>
          <c:smooth val="0"/>
        </c:ser>
        <c:ser>
          <c:idx val="1"/>
          <c:order val="1"/>
          <c:tx>
            <c:v>Швеция</c:v>
          </c:tx>
          <c:spPr>
            <a:ln>
              <a:solidFill>
                <a:srgbClr val="A3C9AC"/>
              </a:solidFill>
            </a:ln>
          </c:spPr>
          <c:marker>
            <c:symbol val="circle"/>
            <c:size val="7"/>
            <c:spPr>
              <a:solidFill>
                <a:schemeClr val="bg1"/>
              </a:solidFill>
              <a:ln w="25400">
                <a:solidFill>
                  <a:srgbClr val="A3C9AC"/>
                </a:solidFill>
              </a:ln>
            </c:spPr>
          </c:marker>
          <c:cat>
            <c:numRef>
              <c:f>Лист2!$T$2:$AN$2</c:f>
              <c:numCache>
                <c:formatCode>General</c:formatCode>
                <c:ptCount val="21"/>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pt idx="20">
                  <c:v>2033</c:v>
                </c:pt>
              </c:numCache>
            </c:numRef>
          </c:cat>
          <c:val>
            <c:numRef>
              <c:f>Лист2!$T$10:$AN$10</c:f>
              <c:numCache>
                <c:formatCode>0.00</c:formatCode>
                <c:ptCount val="21"/>
                <c:pt idx="0">
                  <c:v>4.2753015505461871</c:v>
                </c:pt>
                <c:pt idx="1">
                  <c:v>4.1583768883259333</c:v>
                </c:pt>
                <c:pt idx="2">
                  <c:v>4.0425063906003631</c:v>
                </c:pt>
                <c:pt idx="3">
                  <c:v>3.9292813079801423</c:v>
                </c:pt>
                <c:pt idx="4">
                  <c:v>3.8186883493613308</c:v>
                </c:pt>
                <c:pt idx="5">
                  <c:v>3.7102418039392302</c:v>
                </c:pt>
                <c:pt idx="6">
                  <c:v>3.6030805952013045</c:v>
                </c:pt>
                <c:pt idx="7">
                  <c:v>3.4970960725423126</c:v>
                </c:pt>
                <c:pt idx="8">
                  <c:v>3.3929223920415699</c:v>
                </c:pt>
                <c:pt idx="9">
                  <c:v>3.2919489355647737</c:v>
                </c:pt>
                <c:pt idx="10">
                  <c:v>3.1956857780025705</c:v>
                </c:pt>
                <c:pt idx="11">
                  <c:v>3.10570235721198</c:v>
                </c:pt>
                <c:pt idx="12">
                  <c:v>3.0229558980970364</c:v>
                </c:pt>
                <c:pt idx="13">
                  <c:v>2.9472300694105638</c:v>
                </c:pt>
                <c:pt idx="14">
                  <c:v>2.8782671713360601</c:v>
                </c:pt>
                <c:pt idx="15">
                  <c:v>2.8166288186047064</c:v>
                </c:pt>
                <c:pt idx="16">
                  <c:v>2.762931731246042</c:v>
                </c:pt>
                <c:pt idx="17">
                  <c:v>2.7173594049177838</c:v>
                </c:pt>
                <c:pt idx="18">
                  <c:v>2.6797207038002435</c:v>
                </c:pt>
                <c:pt idx="19">
                  <c:v>2.6492911695720291</c:v>
                </c:pt>
                <c:pt idx="20">
                  <c:v>2.6250438021141798</c:v>
                </c:pt>
              </c:numCache>
            </c:numRef>
          </c:val>
          <c:smooth val="0"/>
        </c:ser>
        <c:ser>
          <c:idx val="2"/>
          <c:order val="2"/>
          <c:tx>
            <c:v>Великобритания</c:v>
          </c:tx>
          <c:spPr>
            <a:ln>
              <a:solidFill>
                <a:srgbClr val="FF9900"/>
              </a:solidFill>
            </a:ln>
          </c:spPr>
          <c:marker>
            <c:symbol val="circle"/>
            <c:size val="7"/>
            <c:spPr>
              <a:solidFill>
                <a:schemeClr val="bg1"/>
              </a:solidFill>
              <a:ln w="25400" cap="rnd">
                <a:solidFill>
                  <a:srgbClr val="FF9900"/>
                </a:solidFill>
              </a:ln>
            </c:spPr>
          </c:marker>
          <c:cat>
            <c:numRef>
              <c:f>Лист2!$T$2:$AN$2</c:f>
              <c:numCache>
                <c:formatCode>General</c:formatCode>
                <c:ptCount val="21"/>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pt idx="20">
                  <c:v>2033</c:v>
                </c:pt>
              </c:numCache>
            </c:numRef>
          </c:cat>
          <c:val>
            <c:numRef>
              <c:f>Лист2!$T$11:$AN$11</c:f>
              <c:numCache>
                <c:formatCode>0.00</c:formatCode>
                <c:ptCount val="21"/>
                <c:pt idx="0">
                  <c:v>3.3749523235032615</c:v>
                </c:pt>
                <c:pt idx="1">
                  <c:v>3.3022772364013577</c:v>
                </c:pt>
                <c:pt idx="2">
                  <c:v>3.2419193335584295</c:v>
                </c:pt>
                <c:pt idx="3">
                  <c:v>3.1951021822025432</c:v>
                </c:pt>
                <c:pt idx="4">
                  <c:v>3.1585616757252972</c:v>
                </c:pt>
                <c:pt idx="5">
                  <c:v>3.1276427893665795</c:v>
                </c:pt>
                <c:pt idx="6">
                  <c:v>3.0960685897949931</c:v>
                </c:pt>
                <c:pt idx="7">
                  <c:v>3.0595806052991601</c:v>
                </c:pt>
                <c:pt idx="8">
                  <c:v>3.0177501873485557</c:v>
                </c:pt>
                <c:pt idx="9">
                  <c:v>2.9721155489956521</c:v>
                </c:pt>
                <c:pt idx="10">
                  <c:v>2.9230693958952245</c:v>
                </c:pt>
                <c:pt idx="11">
                  <c:v>2.8714657775102252</c:v>
                </c:pt>
                <c:pt idx="12">
                  <c:v>2.8181535486455873</c:v>
                </c:pt>
                <c:pt idx="13">
                  <c:v>2.7635557140521021</c:v>
                </c:pt>
                <c:pt idx="14">
                  <c:v>2.7081384292628856</c:v>
                </c:pt>
                <c:pt idx="15">
                  <c:v>2.6528459649181153</c:v>
                </c:pt>
                <c:pt idx="16">
                  <c:v>2.5986449284358346</c:v>
                </c:pt>
                <c:pt idx="17">
                  <c:v>2.546317689596068</c:v>
                </c:pt>
                <c:pt idx="18">
                  <c:v>2.4959183051833396</c:v>
                </c:pt>
                <c:pt idx="19">
                  <c:v>2.4478401622285295</c:v>
                </c:pt>
                <c:pt idx="20">
                  <c:v>2.403393535559549</c:v>
                </c:pt>
              </c:numCache>
            </c:numRef>
          </c:val>
          <c:smooth val="0"/>
        </c:ser>
        <c:ser>
          <c:idx val="3"/>
          <c:order val="3"/>
          <c:tx>
            <c:v>США</c:v>
          </c:tx>
          <c:spPr>
            <a:ln>
              <a:solidFill>
                <a:srgbClr val="F8F200"/>
              </a:solidFill>
            </a:ln>
          </c:spPr>
          <c:marker>
            <c:symbol val="circle"/>
            <c:size val="7"/>
            <c:spPr>
              <a:solidFill>
                <a:schemeClr val="bg1"/>
              </a:solidFill>
              <a:ln w="25400" cap="rnd">
                <a:solidFill>
                  <a:srgbClr val="F8F200"/>
                </a:solidFill>
              </a:ln>
            </c:spPr>
          </c:marker>
          <c:cat>
            <c:numRef>
              <c:f>Лист2!$T$2:$AN$2</c:f>
              <c:numCache>
                <c:formatCode>General</c:formatCode>
                <c:ptCount val="21"/>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pt idx="20">
                  <c:v>2033</c:v>
                </c:pt>
              </c:numCache>
            </c:numRef>
          </c:cat>
          <c:val>
            <c:numRef>
              <c:f>Лист2!$T$12:$AN$12</c:f>
              <c:numCache>
                <c:formatCode>0.00</c:formatCode>
                <c:ptCount val="21"/>
                <c:pt idx="0">
                  <c:v>3.0004796108547955</c:v>
                </c:pt>
                <c:pt idx="1">
                  <c:v>2.9343068815929985</c:v>
                </c:pt>
                <c:pt idx="2">
                  <c:v>2.8773705929661122</c:v>
                </c:pt>
                <c:pt idx="3">
                  <c:v>2.8303074727799458</c:v>
                </c:pt>
                <c:pt idx="4">
                  <c:v>2.7912958991255596</c:v>
                </c:pt>
                <c:pt idx="5">
                  <c:v>2.758123075146004</c:v>
                </c:pt>
                <c:pt idx="6">
                  <c:v>2.7278179229865498</c:v>
                </c:pt>
                <c:pt idx="7">
                  <c:v>2.6983530042039683</c:v>
                </c:pt>
                <c:pt idx="8">
                  <c:v>2.6694545220972197</c:v>
                </c:pt>
                <c:pt idx="9">
                  <c:v>2.6416946360363891</c:v>
                </c:pt>
                <c:pt idx="10">
                  <c:v>2.6149939887254381</c:v>
                </c:pt>
                <c:pt idx="11">
                  <c:v>2.5894036882438201</c:v>
                </c:pt>
                <c:pt idx="12">
                  <c:v>2.5648902778752132</c:v>
                </c:pt>
                <c:pt idx="13">
                  <c:v>2.5415658874664802</c:v>
                </c:pt>
                <c:pt idx="14">
                  <c:v>2.5192205180205742</c:v>
                </c:pt>
                <c:pt idx="15">
                  <c:v>2.4972099599478419</c:v>
                </c:pt>
                <c:pt idx="16">
                  <c:v>2.4747437058535109</c:v>
                </c:pt>
                <c:pt idx="17">
                  <c:v>2.451434024411153</c:v>
                </c:pt>
                <c:pt idx="18">
                  <c:v>2.4270796845245144</c:v>
                </c:pt>
                <c:pt idx="19">
                  <c:v>2.4022667211732287</c:v>
                </c:pt>
                <c:pt idx="20">
                  <c:v>2.3783068923859649</c:v>
                </c:pt>
              </c:numCache>
            </c:numRef>
          </c:val>
          <c:smooth val="0"/>
        </c:ser>
        <c:ser>
          <c:idx val="4"/>
          <c:order val="4"/>
          <c:tx>
            <c:v>Нидерланды</c:v>
          </c:tx>
          <c:spPr>
            <a:ln>
              <a:solidFill>
                <a:srgbClr val="006C4E"/>
              </a:solidFill>
            </a:ln>
          </c:spPr>
          <c:marker>
            <c:symbol val="circle"/>
            <c:size val="7"/>
            <c:spPr>
              <a:solidFill>
                <a:schemeClr val="bg1"/>
              </a:solidFill>
              <a:ln w="25400">
                <a:solidFill>
                  <a:srgbClr val="006C4E"/>
                </a:solidFill>
              </a:ln>
            </c:spPr>
          </c:marker>
          <c:cat>
            <c:numRef>
              <c:f>Лист2!$T$2:$AN$2</c:f>
              <c:numCache>
                <c:formatCode>General</c:formatCode>
                <c:ptCount val="21"/>
                <c:pt idx="0">
                  <c:v>2013</c:v>
                </c:pt>
                <c:pt idx="1">
                  <c:v>2014</c:v>
                </c:pt>
                <c:pt idx="2">
                  <c:v>2015</c:v>
                </c:pt>
                <c:pt idx="3">
                  <c:v>2016</c:v>
                </c:pt>
                <c:pt idx="4">
                  <c:v>2017</c:v>
                </c:pt>
                <c:pt idx="5">
                  <c:v>2018</c:v>
                </c:pt>
                <c:pt idx="6">
                  <c:v>2019</c:v>
                </c:pt>
                <c:pt idx="7">
                  <c:v>2020</c:v>
                </c:pt>
                <c:pt idx="8">
                  <c:v>2021</c:v>
                </c:pt>
                <c:pt idx="9">
                  <c:v>2022</c:v>
                </c:pt>
                <c:pt idx="10">
                  <c:v>2023</c:v>
                </c:pt>
                <c:pt idx="11">
                  <c:v>2024</c:v>
                </c:pt>
                <c:pt idx="12">
                  <c:v>2025</c:v>
                </c:pt>
                <c:pt idx="13">
                  <c:v>2026</c:v>
                </c:pt>
                <c:pt idx="14">
                  <c:v>2027</c:v>
                </c:pt>
                <c:pt idx="15">
                  <c:v>2028</c:v>
                </c:pt>
                <c:pt idx="16">
                  <c:v>2029</c:v>
                </c:pt>
                <c:pt idx="17">
                  <c:v>2030</c:v>
                </c:pt>
                <c:pt idx="18">
                  <c:v>2031</c:v>
                </c:pt>
                <c:pt idx="19">
                  <c:v>2032</c:v>
                </c:pt>
                <c:pt idx="20">
                  <c:v>2033</c:v>
                </c:pt>
              </c:numCache>
            </c:numRef>
          </c:cat>
          <c:val>
            <c:numRef>
              <c:f>Лист2!$T$16:$AN$16</c:f>
              <c:numCache>
                <c:formatCode>0.00</c:formatCode>
                <c:ptCount val="21"/>
                <c:pt idx="0">
                  <c:v>6.113084534804015</c:v>
                </c:pt>
                <c:pt idx="1">
                  <c:v>5.967389069826214</c:v>
                </c:pt>
                <c:pt idx="2">
                  <c:v>5.8156270778090127</c:v>
                </c:pt>
                <c:pt idx="3">
                  <c:v>5.6588813189294989</c:v>
                </c:pt>
                <c:pt idx="4">
                  <c:v>5.4977700086985823</c:v>
                </c:pt>
                <c:pt idx="5">
                  <c:v>5.3306977997999905</c:v>
                </c:pt>
                <c:pt idx="6">
                  <c:v>5.15619627344946</c:v>
                </c:pt>
                <c:pt idx="7">
                  <c:v>4.9745939990307697</c:v>
                </c:pt>
                <c:pt idx="8">
                  <c:v>4.7883011292367206</c:v>
                </c:pt>
                <c:pt idx="9">
                  <c:v>4.6005586469588211</c:v>
                </c:pt>
                <c:pt idx="10">
                  <c:v>4.413997940591881</c:v>
                </c:pt>
                <c:pt idx="11">
                  <c:v>4.2311977043758784</c:v>
                </c:pt>
                <c:pt idx="12">
                  <c:v>4.0543260627886069</c:v>
                </c:pt>
                <c:pt idx="13">
                  <c:v>3.8836820869227044</c:v>
                </c:pt>
                <c:pt idx="14">
                  <c:v>3.720586510603145</c:v>
                </c:pt>
                <c:pt idx="15">
                  <c:v>3.568392592583455</c:v>
                </c:pt>
                <c:pt idx="16">
                  <c:v>3.4303344910477405</c:v>
                </c:pt>
                <c:pt idx="17">
                  <c:v>3.3076144215756829</c:v>
                </c:pt>
                <c:pt idx="18">
                  <c:v>3.1997978213575222</c:v>
                </c:pt>
                <c:pt idx="19">
                  <c:v>3.1047427079205709</c:v>
                </c:pt>
                <c:pt idx="20">
                  <c:v>3.0197729359573144</c:v>
                </c:pt>
              </c:numCache>
            </c:numRef>
          </c:val>
          <c:smooth val="0"/>
        </c:ser>
        <c:dLbls>
          <c:showLegendKey val="0"/>
          <c:showVal val="0"/>
          <c:showCatName val="0"/>
          <c:showSerName val="0"/>
          <c:showPercent val="0"/>
          <c:showBubbleSize val="0"/>
        </c:dLbls>
        <c:marker val="1"/>
        <c:smooth val="0"/>
        <c:axId val="240120960"/>
        <c:axId val="240122880"/>
      </c:lineChart>
      <c:catAx>
        <c:axId val="240120960"/>
        <c:scaling>
          <c:orientation val="minMax"/>
        </c:scaling>
        <c:delete val="0"/>
        <c:axPos val="b"/>
        <c:numFmt formatCode="General" sourceLinked="1"/>
        <c:majorTickMark val="out"/>
        <c:minorTickMark val="none"/>
        <c:tickLblPos val="nextTo"/>
        <c:crossAx val="240122880"/>
        <c:crosses val="autoZero"/>
        <c:auto val="1"/>
        <c:lblAlgn val="ctr"/>
        <c:lblOffset val="100"/>
        <c:noMultiLvlLbl val="0"/>
      </c:catAx>
      <c:valAx>
        <c:axId val="240122880"/>
        <c:scaling>
          <c:orientation val="minMax"/>
        </c:scaling>
        <c:delete val="0"/>
        <c:axPos val="l"/>
        <c:majorGridlines>
          <c:spPr>
            <a:ln>
              <a:solidFill>
                <a:schemeClr val="bg1">
                  <a:lumMod val="75000"/>
                </a:schemeClr>
              </a:solidFill>
              <a:prstDash val="dash"/>
            </a:ln>
          </c:spPr>
        </c:majorGridlines>
        <c:title>
          <c:tx>
            <c:rich>
              <a:bodyPr rot="-5400000" vert="horz"/>
              <a:lstStyle/>
              <a:p>
                <a:pPr>
                  <a:defRPr/>
                </a:pPr>
                <a:r>
                  <a:rPr lang="ru-RU" b="0"/>
                  <a:t>Кол-во</a:t>
                </a:r>
                <a:r>
                  <a:rPr lang="ru-RU" b="0" baseline="0"/>
                  <a:t> трудоспособных на   1 пенсионера, чел.</a:t>
                </a:r>
                <a:endParaRPr lang="ru-RU" b="0"/>
              </a:p>
            </c:rich>
          </c:tx>
          <c:overlay val="0"/>
        </c:title>
        <c:numFmt formatCode="0.00" sourceLinked="1"/>
        <c:majorTickMark val="out"/>
        <c:minorTickMark val="none"/>
        <c:tickLblPos val="nextTo"/>
        <c:crossAx val="240120960"/>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Фондирование</c:v>
          </c:tx>
          <c:spPr>
            <a:ln>
              <a:solidFill>
                <a:srgbClr val="FF9900"/>
              </a:solidFill>
            </a:ln>
          </c:spPr>
          <c:marker>
            <c:symbol val="circle"/>
            <c:size val="7"/>
            <c:spPr>
              <a:solidFill>
                <a:schemeClr val="bg1"/>
              </a:solidFill>
              <a:ln w="25400">
                <a:solidFill>
                  <a:srgbClr val="FF9900"/>
                </a:solidFill>
              </a:ln>
            </c:spPr>
          </c:marker>
          <c:cat>
            <c:numRef>
              <c:f>Лист1!$A$18:$A$32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Лист1!$D$18:$D$32</c:f>
              <c:numCache>
                <c:formatCode>0.0%</c:formatCode>
                <c:ptCount val="15"/>
                <c:pt idx="0">
                  <c:v>1.2285820412353583</c:v>
                </c:pt>
                <c:pt idx="1">
                  <c:v>1.0132011823947666</c:v>
                </c:pt>
                <c:pt idx="2">
                  <c:v>0.8191976865927828</c:v>
                </c:pt>
                <c:pt idx="3">
                  <c:v>0.88006640478773157</c:v>
                </c:pt>
                <c:pt idx="4">
                  <c:v>0.89288884826132586</c:v>
                </c:pt>
                <c:pt idx="5">
                  <c:v>0.90846906483175105</c:v>
                </c:pt>
                <c:pt idx="6">
                  <c:v>0.98445015563531901</c:v>
                </c:pt>
                <c:pt idx="7">
                  <c:v>1.0531632483553559</c:v>
                </c:pt>
                <c:pt idx="8">
                  <c:v>0.79195539397900416</c:v>
                </c:pt>
                <c:pt idx="9">
                  <c:v>0.8159844554698259</c:v>
                </c:pt>
                <c:pt idx="10">
                  <c:v>0.8379551083289456</c:v>
                </c:pt>
                <c:pt idx="11">
                  <c:v>0.79032466478464425</c:v>
                </c:pt>
                <c:pt idx="12">
                  <c:v>0.771331653353583</c:v>
                </c:pt>
                <c:pt idx="13">
                  <c:v>0.87740073964739029</c:v>
                </c:pt>
                <c:pt idx="14">
                  <c:v>0.81660467187362962</c:v>
                </c:pt>
              </c:numCache>
            </c:numRef>
          </c:val>
          <c:smooth val="0"/>
        </c:ser>
        <c:dLbls>
          <c:showLegendKey val="0"/>
          <c:showVal val="0"/>
          <c:showCatName val="0"/>
          <c:showSerName val="0"/>
          <c:showPercent val="0"/>
          <c:showBubbleSize val="0"/>
        </c:dLbls>
        <c:marker val="1"/>
        <c:smooth val="0"/>
        <c:axId val="240033792"/>
        <c:axId val="245011200"/>
      </c:lineChart>
      <c:catAx>
        <c:axId val="240033792"/>
        <c:scaling>
          <c:orientation val="minMax"/>
        </c:scaling>
        <c:delete val="0"/>
        <c:axPos val="b"/>
        <c:numFmt formatCode="General" sourceLinked="1"/>
        <c:majorTickMark val="out"/>
        <c:minorTickMark val="none"/>
        <c:tickLblPos val="nextTo"/>
        <c:txPr>
          <a:bodyPr rot="-5400000"/>
          <a:lstStyle/>
          <a:p>
            <a:pPr>
              <a:defRPr/>
            </a:pPr>
            <a:endParaRPr lang="ru-RU"/>
          </a:p>
        </c:txPr>
        <c:crossAx val="245011200"/>
        <c:crosses val="autoZero"/>
        <c:auto val="1"/>
        <c:lblAlgn val="ctr"/>
        <c:lblOffset val="100"/>
        <c:noMultiLvlLbl val="0"/>
      </c:catAx>
      <c:valAx>
        <c:axId val="245011200"/>
        <c:scaling>
          <c:orientation val="minMax"/>
        </c:scaling>
        <c:delete val="0"/>
        <c:axPos val="l"/>
        <c:majorGridlines>
          <c:spPr>
            <a:ln>
              <a:solidFill>
                <a:schemeClr val="bg1">
                  <a:lumMod val="75000"/>
                </a:schemeClr>
              </a:solidFill>
              <a:prstDash val="dash"/>
            </a:ln>
          </c:spPr>
        </c:majorGridlines>
        <c:numFmt formatCode="0%" sourceLinked="0"/>
        <c:majorTickMark val="out"/>
        <c:minorTickMark val="none"/>
        <c:tickLblPos val="nextTo"/>
        <c:crossAx val="240033792"/>
        <c:crosses val="autoZero"/>
        <c:crossBetween val="between"/>
      </c:valAx>
    </c:plotArea>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Активы</c:v>
          </c:tx>
          <c:spPr>
            <a:ln>
              <a:solidFill>
                <a:srgbClr val="FF9900"/>
              </a:solidFill>
            </a:ln>
          </c:spPr>
          <c:marker>
            <c:symbol val="circle"/>
            <c:size val="7"/>
            <c:spPr>
              <a:solidFill>
                <a:schemeClr val="bg1"/>
              </a:solidFill>
              <a:ln w="25400">
                <a:solidFill>
                  <a:srgbClr val="FF9900"/>
                </a:solidFill>
              </a:ln>
            </c:spPr>
          </c:marker>
          <c:cat>
            <c:numRef>
              <c:f>Лист1!$A$18:$A$32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Лист1!$B$18:$B$32</c:f>
              <c:numCache>
                <c:formatCode>General</c:formatCode>
                <c:ptCount val="15"/>
                <c:pt idx="0">
                  <c:v>952586</c:v>
                </c:pt>
                <c:pt idx="1">
                  <c:v>849708</c:v>
                </c:pt>
                <c:pt idx="2">
                  <c:v>766008</c:v>
                </c:pt>
                <c:pt idx="3">
                  <c:v>919232</c:v>
                </c:pt>
                <c:pt idx="4">
                  <c:v>1015845</c:v>
                </c:pt>
                <c:pt idx="5">
                  <c:v>1095164</c:v>
                </c:pt>
                <c:pt idx="6">
                  <c:v>1222693</c:v>
                </c:pt>
                <c:pt idx="7">
                  <c:v>1306013</c:v>
                </c:pt>
                <c:pt idx="8">
                  <c:v>969393</c:v>
                </c:pt>
                <c:pt idx="9">
                  <c:v>1081363</c:v>
                </c:pt>
                <c:pt idx="10">
                  <c:v>1203146</c:v>
                </c:pt>
                <c:pt idx="11">
                  <c:v>1241604</c:v>
                </c:pt>
                <c:pt idx="12">
                  <c:v>1326584</c:v>
                </c:pt>
                <c:pt idx="13">
                  <c:v>1394546</c:v>
                </c:pt>
                <c:pt idx="14">
                  <c:v>1452449</c:v>
                </c:pt>
              </c:numCache>
            </c:numRef>
          </c:val>
          <c:smooth val="0"/>
        </c:ser>
        <c:ser>
          <c:idx val="1"/>
          <c:order val="1"/>
          <c:tx>
            <c:v>Обязательства</c:v>
          </c:tx>
          <c:spPr>
            <a:ln>
              <a:solidFill>
                <a:srgbClr val="006C4E"/>
              </a:solidFill>
            </a:ln>
          </c:spPr>
          <c:marker>
            <c:symbol val="circle"/>
            <c:size val="7"/>
            <c:spPr>
              <a:solidFill>
                <a:schemeClr val="bg1"/>
              </a:solidFill>
              <a:ln w="25400">
                <a:solidFill>
                  <a:srgbClr val="006C4E"/>
                </a:solidFill>
              </a:ln>
            </c:spPr>
          </c:marker>
          <c:cat>
            <c:numRef>
              <c:f>Лист1!$A$18:$A$32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Лист1!$C$18:$C$32</c:f>
              <c:numCache>
                <c:formatCode>General</c:formatCode>
                <c:ptCount val="15"/>
                <c:pt idx="0">
                  <c:v>775354</c:v>
                </c:pt>
                <c:pt idx="1">
                  <c:v>838637</c:v>
                </c:pt>
                <c:pt idx="2">
                  <c:v>935071</c:v>
                </c:pt>
                <c:pt idx="3">
                  <c:v>1044503</c:v>
                </c:pt>
                <c:pt idx="4">
                  <c:v>1137706</c:v>
                </c:pt>
                <c:pt idx="5">
                  <c:v>1205505</c:v>
                </c:pt>
                <c:pt idx="6">
                  <c:v>1242006</c:v>
                </c:pt>
                <c:pt idx="7">
                  <c:v>1240086</c:v>
                </c:pt>
                <c:pt idx="8">
                  <c:v>1224050</c:v>
                </c:pt>
                <c:pt idx="9">
                  <c:v>1325225</c:v>
                </c:pt>
                <c:pt idx="10">
                  <c:v>1435812</c:v>
                </c:pt>
                <c:pt idx="11">
                  <c:v>1571005</c:v>
                </c:pt>
                <c:pt idx="12">
                  <c:v>1719862</c:v>
                </c:pt>
                <c:pt idx="13">
                  <c:v>1589406</c:v>
                </c:pt>
                <c:pt idx="14">
                  <c:v>1778644</c:v>
                </c:pt>
              </c:numCache>
            </c:numRef>
          </c:val>
          <c:smooth val="0"/>
        </c:ser>
        <c:dLbls>
          <c:showLegendKey val="0"/>
          <c:showVal val="0"/>
          <c:showCatName val="0"/>
          <c:showSerName val="0"/>
          <c:showPercent val="0"/>
          <c:showBubbleSize val="0"/>
        </c:dLbls>
        <c:marker val="1"/>
        <c:smooth val="0"/>
        <c:axId val="245031296"/>
        <c:axId val="245033216"/>
      </c:lineChart>
      <c:catAx>
        <c:axId val="245031296"/>
        <c:scaling>
          <c:orientation val="minMax"/>
        </c:scaling>
        <c:delete val="0"/>
        <c:axPos val="b"/>
        <c:numFmt formatCode="General" sourceLinked="1"/>
        <c:majorTickMark val="out"/>
        <c:minorTickMark val="none"/>
        <c:tickLblPos val="nextTo"/>
        <c:txPr>
          <a:bodyPr rot="-5400000"/>
          <a:lstStyle/>
          <a:p>
            <a:pPr>
              <a:defRPr/>
            </a:pPr>
            <a:endParaRPr lang="ru-RU"/>
          </a:p>
        </c:txPr>
        <c:crossAx val="245033216"/>
        <c:crosses val="autoZero"/>
        <c:auto val="1"/>
        <c:lblAlgn val="ctr"/>
        <c:lblOffset val="100"/>
        <c:noMultiLvlLbl val="0"/>
      </c:catAx>
      <c:valAx>
        <c:axId val="245033216"/>
        <c:scaling>
          <c:orientation val="minMax"/>
        </c:scaling>
        <c:delete val="0"/>
        <c:axPos val="l"/>
        <c:majorGridlines>
          <c:spPr>
            <a:ln>
              <a:solidFill>
                <a:schemeClr val="bg1">
                  <a:lumMod val="75000"/>
                </a:schemeClr>
              </a:solidFill>
              <a:prstDash val="dash"/>
            </a:ln>
          </c:spPr>
        </c:majorGridlines>
        <c:numFmt formatCode="General" sourceLinked="1"/>
        <c:majorTickMark val="out"/>
        <c:minorTickMark val="none"/>
        <c:tickLblPos val="nextTo"/>
        <c:crossAx val="245031296"/>
        <c:crosses val="autoZero"/>
        <c:crossBetween val="between"/>
        <c:dispUnits>
          <c:builtInUnit val="thousands"/>
          <c:dispUnitsLbl>
            <c:layout>
              <c:manualLayout>
                <c:xMode val="edge"/>
                <c:yMode val="edge"/>
                <c:x val="2.3496502930742253E-2"/>
                <c:y val="0.28995132175903582"/>
              </c:manualLayout>
            </c:layout>
            <c:tx>
              <c:rich>
                <a:bodyPr/>
                <a:lstStyle/>
                <a:p>
                  <a:pPr>
                    <a:defRPr b="0"/>
                  </a:pPr>
                  <a:r>
                    <a:rPr lang="en-US" b="0"/>
                    <a:t>$</a:t>
                  </a:r>
                  <a:r>
                    <a:rPr lang="ru-RU" b="0"/>
                    <a:t>млрд.</a:t>
                  </a:r>
                  <a:endParaRPr lang="en-US" b="0"/>
                </a:p>
              </c:rich>
            </c:tx>
          </c:dispUnitsLbl>
        </c:dispUnits>
      </c:valAx>
    </c:plotArea>
    <c:legend>
      <c:legendPos val="r"/>
      <c:overlay val="0"/>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v>2013</c:v>
          </c:tx>
          <c:spPr>
            <a:solidFill>
              <a:srgbClr val="006C4E"/>
            </a:solidFill>
          </c:spPr>
          <c:invertIfNegative val="0"/>
          <c:cat>
            <c:strRef>
              <c:f>(EU!$U$17,EU!$AE$17,EU!$AP$17,EU!$BA$17,EU!$BS$17,EU!$CD$17,EU!$CW$17)</c:f>
              <c:strCache>
                <c:ptCount val="7"/>
                <c:pt idx="0">
                  <c:v>Депозиты</c:v>
                </c:pt>
                <c:pt idx="1">
                  <c:v>Займы</c:v>
                </c:pt>
                <c:pt idx="2">
                  <c:v>Цен.бум. кроме акций</c:v>
                </c:pt>
                <c:pt idx="3">
                  <c:v>Акции</c:v>
                </c:pt>
                <c:pt idx="4">
                  <c:v>Фонды денежного рынка</c:v>
                </c:pt>
                <c:pt idx="5">
                  <c:v>Страховые контракты</c:v>
                </c:pt>
                <c:pt idx="6">
                  <c:v>Нефинансовые активы</c:v>
                </c:pt>
              </c:strCache>
            </c:strRef>
          </c:cat>
          <c:val>
            <c:numRef>
              <c:f>(EU!$U$18,EU!$AE$18,EU!$AP$18,EU!$BA$18,EU!$BS$18,EU!$CD$18,EU!$CW$18)</c:f>
              <c:numCache>
                <c:formatCode>0.00%</c:formatCode>
                <c:ptCount val="7"/>
                <c:pt idx="0">
                  <c:v>0.2092</c:v>
                </c:pt>
                <c:pt idx="1">
                  <c:v>6.5199999999999994E-2</c:v>
                </c:pt>
                <c:pt idx="2">
                  <c:v>0.44180000000000003</c:v>
                </c:pt>
                <c:pt idx="3">
                  <c:v>0.20480000000000001</c:v>
                </c:pt>
                <c:pt idx="4">
                  <c:v>7.7999999999999996E-3</c:v>
                </c:pt>
                <c:pt idx="5">
                  <c:v>3.1099999999999999E-2</c:v>
                </c:pt>
                <c:pt idx="6">
                  <c:v>0.04</c:v>
                </c:pt>
              </c:numCache>
            </c:numRef>
          </c:val>
        </c:ser>
        <c:ser>
          <c:idx val="1"/>
          <c:order val="1"/>
          <c:tx>
            <c:v>2014</c:v>
          </c:tx>
          <c:spPr>
            <a:solidFill>
              <a:srgbClr val="FF9900"/>
            </a:solidFill>
          </c:spPr>
          <c:invertIfNegative val="0"/>
          <c:cat>
            <c:strRef>
              <c:f>(EU!$U$17,EU!$AE$17,EU!$AP$17,EU!$BA$17,EU!$BS$17,EU!$CD$17,EU!$CW$17)</c:f>
              <c:strCache>
                <c:ptCount val="7"/>
                <c:pt idx="0">
                  <c:v>Депозиты</c:v>
                </c:pt>
                <c:pt idx="1">
                  <c:v>Займы</c:v>
                </c:pt>
                <c:pt idx="2">
                  <c:v>Цен.бум. кроме акций</c:v>
                </c:pt>
                <c:pt idx="3">
                  <c:v>Акции</c:v>
                </c:pt>
                <c:pt idx="4">
                  <c:v>Фонды денежного рынка</c:v>
                </c:pt>
                <c:pt idx="5">
                  <c:v>Страховые контракты</c:v>
                </c:pt>
                <c:pt idx="6">
                  <c:v>Нефинансовые активы</c:v>
                </c:pt>
              </c:strCache>
            </c:strRef>
          </c:cat>
          <c:val>
            <c:numRef>
              <c:f>(EU!$U$19,EU!$AE$19,EU!$AP$19,EU!$BA$19,EU!$BS$19,EU!$CD$19,EU!$CW$19)</c:f>
              <c:numCache>
                <c:formatCode>0.00%</c:formatCode>
                <c:ptCount val="7"/>
                <c:pt idx="0">
                  <c:v>0.18959999999999999</c:v>
                </c:pt>
                <c:pt idx="1">
                  <c:v>5.9400000000000001E-2</c:v>
                </c:pt>
                <c:pt idx="2">
                  <c:v>0.46300000000000002</c:v>
                </c:pt>
                <c:pt idx="3">
                  <c:v>0.21740000000000001</c:v>
                </c:pt>
                <c:pt idx="4">
                  <c:v>8.0000000000000002E-3</c:v>
                </c:pt>
                <c:pt idx="5">
                  <c:v>2.4899999999999999E-2</c:v>
                </c:pt>
                <c:pt idx="6">
                  <c:v>3.78E-2</c:v>
                </c:pt>
              </c:numCache>
            </c:numRef>
          </c:val>
        </c:ser>
        <c:dLbls>
          <c:showLegendKey val="0"/>
          <c:showVal val="0"/>
          <c:showCatName val="0"/>
          <c:showSerName val="0"/>
          <c:showPercent val="0"/>
          <c:showBubbleSize val="0"/>
        </c:dLbls>
        <c:gapWidth val="150"/>
        <c:axId val="169884672"/>
        <c:axId val="169886464"/>
      </c:barChart>
      <c:catAx>
        <c:axId val="169884672"/>
        <c:scaling>
          <c:orientation val="minMax"/>
        </c:scaling>
        <c:delete val="0"/>
        <c:axPos val="l"/>
        <c:majorTickMark val="out"/>
        <c:minorTickMark val="none"/>
        <c:tickLblPos val="nextTo"/>
        <c:txPr>
          <a:bodyPr/>
          <a:lstStyle/>
          <a:p>
            <a:pPr>
              <a:defRPr>
                <a:latin typeface="Calibri" panose="020F0502020204030204" pitchFamily="34" charset="0"/>
              </a:defRPr>
            </a:pPr>
            <a:endParaRPr lang="ru-RU"/>
          </a:p>
        </c:txPr>
        <c:crossAx val="169886464"/>
        <c:crosses val="autoZero"/>
        <c:auto val="1"/>
        <c:lblAlgn val="ctr"/>
        <c:lblOffset val="100"/>
        <c:noMultiLvlLbl val="0"/>
      </c:catAx>
      <c:valAx>
        <c:axId val="169886464"/>
        <c:scaling>
          <c:orientation val="minMax"/>
        </c:scaling>
        <c:delete val="0"/>
        <c:axPos val="b"/>
        <c:majorGridlines>
          <c:spPr>
            <a:ln>
              <a:solidFill>
                <a:schemeClr val="bg1">
                  <a:lumMod val="50000"/>
                </a:schemeClr>
              </a:solidFill>
              <a:prstDash val="dash"/>
            </a:ln>
          </c:spPr>
        </c:majorGridlines>
        <c:title>
          <c:tx>
            <c:rich>
              <a:bodyPr/>
              <a:lstStyle/>
              <a:p>
                <a:pPr>
                  <a:defRPr sz="800" b="0">
                    <a:latin typeface="Calibri" panose="020F0502020204030204" pitchFamily="34" charset="0"/>
                  </a:defRPr>
                </a:pPr>
                <a:r>
                  <a:rPr lang="ru-RU" sz="800" b="0">
                    <a:latin typeface="Calibri" panose="020F0502020204030204" pitchFamily="34" charset="0"/>
                  </a:rPr>
                  <a:t>Доля актива в портфеле</a:t>
                </a:r>
              </a:p>
            </c:rich>
          </c:tx>
          <c:overlay val="0"/>
        </c:title>
        <c:numFmt formatCode="0%" sourceLinked="0"/>
        <c:majorTickMark val="out"/>
        <c:minorTickMark val="none"/>
        <c:tickLblPos val="nextTo"/>
        <c:txPr>
          <a:bodyPr/>
          <a:lstStyle/>
          <a:p>
            <a:pPr>
              <a:defRPr>
                <a:latin typeface="Calibri" panose="020F0502020204030204" pitchFamily="34" charset="0"/>
              </a:defRPr>
            </a:pPr>
            <a:endParaRPr lang="ru-RU"/>
          </a:p>
        </c:txPr>
        <c:crossAx val="169884672"/>
        <c:crosses val="autoZero"/>
        <c:crossBetween val="between"/>
      </c:valAx>
    </c:plotArea>
    <c:legend>
      <c:legendPos val="r"/>
      <c:overlay val="0"/>
      <c:txPr>
        <a:bodyPr/>
        <a:lstStyle/>
        <a:p>
          <a:pPr>
            <a:defRPr>
              <a:latin typeface="Calibri" panose="020F0502020204030204" pitchFamily="34"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194444444444445"/>
          <c:y val="0.18034591578860831"/>
          <c:w val="0.76388888888888884"/>
          <c:h val="0.63416884990093148"/>
        </c:manualLayout>
      </c:layout>
      <c:ofPieChart>
        <c:ofPieType val="pie"/>
        <c:varyColors val="1"/>
        <c:ser>
          <c:idx val="0"/>
          <c:order val="0"/>
          <c:dPt>
            <c:idx val="0"/>
            <c:bubble3D val="0"/>
            <c:spPr>
              <a:solidFill>
                <a:srgbClr val="A3C9AC"/>
              </a:solidFill>
            </c:spPr>
          </c:dPt>
          <c:dPt>
            <c:idx val="1"/>
            <c:bubble3D val="0"/>
            <c:spPr>
              <a:solidFill>
                <a:srgbClr val="F46106"/>
              </a:solidFill>
            </c:spPr>
          </c:dPt>
          <c:dPt>
            <c:idx val="2"/>
            <c:bubble3D val="0"/>
            <c:spPr>
              <a:solidFill>
                <a:srgbClr val="006C4E"/>
              </a:solidFill>
              <a:ln>
                <a:solidFill>
                  <a:schemeClr val="accent1"/>
                </a:solidFill>
              </a:ln>
            </c:spPr>
          </c:dPt>
          <c:dPt>
            <c:idx val="3"/>
            <c:bubble3D val="0"/>
            <c:spPr>
              <a:solidFill>
                <a:srgbClr val="5EA06E"/>
              </a:solidFill>
            </c:spPr>
          </c:dPt>
          <c:dPt>
            <c:idx val="4"/>
            <c:bubble3D val="0"/>
            <c:spPr>
              <a:solidFill>
                <a:srgbClr val="F4D9C8"/>
              </a:solidFill>
            </c:spPr>
          </c:dPt>
          <c:dPt>
            <c:idx val="5"/>
            <c:bubble3D val="0"/>
            <c:spPr>
              <a:solidFill>
                <a:srgbClr val="E0A366"/>
              </a:solidFill>
            </c:spPr>
          </c:dPt>
          <c:dPt>
            <c:idx val="6"/>
            <c:bubble3D val="0"/>
            <c:spPr>
              <a:solidFill>
                <a:srgbClr val="DBA08D"/>
              </a:solidFill>
            </c:spPr>
          </c:dPt>
          <c:dPt>
            <c:idx val="7"/>
            <c:bubble3D val="0"/>
            <c:spPr>
              <a:solidFill>
                <a:schemeClr val="bg1">
                  <a:lumMod val="65000"/>
                </a:schemeClr>
              </a:solidFill>
            </c:spPr>
          </c:dPt>
          <c:dLbls>
            <c:dLbl>
              <c:idx val="0"/>
              <c:layout>
                <c:manualLayout>
                  <c:x val="2.4999781277340382E-2"/>
                  <c:y val="5.1729439867129967E-2"/>
                </c:manualLayout>
              </c:layout>
              <c:tx>
                <c:rich>
                  <a:bodyPr/>
                  <a:lstStyle/>
                  <a:p>
                    <a:r>
                      <a:rPr lang="ru-RU" sz="800" b="1">
                        <a:latin typeface="Calibri" panose="020F0502020204030204" pitchFamily="34" charset="0"/>
                      </a:rPr>
                      <a:t>Депозиты</a:t>
                    </a:r>
                    <a:r>
                      <a:rPr lang="ru-RU" sz="800">
                        <a:latin typeface="Calibri" panose="020F0502020204030204" pitchFamily="34" charset="0"/>
                      </a:rPr>
                      <a:t> </a:t>
                    </a:r>
                    <a:r>
                      <a:rPr lang="ru-RU" sz="800">
                        <a:latin typeface="Calibri" panose="020F0502020204030204" pitchFamily="34" charset="0"/>
                        <a:cs typeface="Times New Roman"/>
                      </a:rPr>
                      <a:t>€368,51</a:t>
                    </a:r>
                  </a:p>
                  <a:p>
                    <a:r>
                      <a:rPr lang="en-US" sz="800">
                        <a:latin typeface="Calibri" panose="020F0502020204030204" pitchFamily="34" charset="0"/>
                      </a:rPr>
                      <a:t>18,10%</a:t>
                    </a:r>
                    <a:endParaRPr lang="en-US" sz="800">
                      <a:latin typeface="+mn-lt"/>
                    </a:endParaRPr>
                  </a:p>
                </c:rich>
              </c:tx>
              <c:dLblPos val="bestFit"/>
              <c:showLegendKey val="0"/>
              <c:showVal val="1"/>
              <c:showCatName val="0"/>
              <c:showSerName val="0"/>
              <c:showPercent val="0"/>
              <c:showBubbleSize val="0"/>
            </c:dLbl>
            <c:dLbl>
              <c:idx val="1"/>
              <c:layout>
                <c:manualLayout>
                  <c:x val="0.18611089238845144"/>
                  <c:y val="8.2325522315039229E-2"/>
                </c:manualLayout>
              </c:layout>
              <c:tx>
                <c:rich>
                  <a:bodyPr/>
                  <a:lstStyle/>
                  <a:p>
                    <a:r>
                      <a:rPr lang="ru-RU" sz="800" b="1">
                        <a:latin typeface="Calibri" panose="020F0502020204030204" pitchFamily="34" charset="0"/>
                      </a:rPr>
                      <a:t>Займы</a:t>
                    </a:r>
                    <a:r>
                      <a:rPr lang="ru-RU" sz="800">
                        <a:latin typeface="Calibri" panose="020F0502020204030204" pitchFamily="34" charset="0"/>
                      </a:rPr>
                      <a:t> </a:t>
                    </a:r>
                    <a:r>
                      <a:rPr lang="ru-RU" sz="800">
                        <a:latin typeface="Calibri" panose="020F0502020204030204" pitchFamily="34" charset="0"/>
                        <a:cs typeface="Times New Roman"/>
                      </a:rPr>
                      <a:t>€121,01</a:t>
                    </a:r>
                  </a:p>
                  <a:p>
                    <a:r>
                      <a:rPr lang="en-US" sz="800">
                        <a:latin typeface="Calibri" panose="020F0502020204030204" pitchFamily="34" charset="0"/>
                      </a:rPr>
                      <a:t>5,94%</a:t>
                    </a:r>
                    <a:endParaRPr lang="en-US" sz="800">
                      <a:latin typeface="+mn-lt"/>
                    </a:endParaRPr>
                  </a:p>
                </c:rich>
              </c:tx>
              <c:dLblPos val="bestFit"/>
              <c:showLegendKey val="0"/>
              <c:showVal val="1"/>
              <c:showCatName val="0"/>
              <c:showSerName val="0"/>
              <c:showPercent val="0"/>
              <c:showBubbleSize val="0"/>
            </c:dLbl>
            <c:dLbl>
              <c:idx val="2"/>
              <c:layout>
                <c:manualLayout>
                  <c:x val="0"/>
                  <c:y val="2.4612418613549146E-2"/>
                </c:manualLayout>
              </c:layout>
              <c:tx>
                <c:rich>
                  <a:bodyPr/>
                  <a:lstStyle/>
                  <a:p>
                    <a:r>
                      <a:rPr lang="ru-RU" sz="800" b="1" dirty="0" err="1">
                        <a:latin typeface="Calibri" panose="020F0502020204030204" pitchFamily="34" charset="0"/>
                      </a:rPr>
                      <a:t>Цен.бум</a:t>
                    </a:r>
                    <a:r>
                      <a:rPr lang="ru-RU" sz="800" b="1" dirty="0">
                        <a:latin typeface="Calibri" panose="020F0502020204030204" pitchFamily="34" charset="0"/>
                      </a:rPr>
                      <a:t>. </a:t>
                    </a:r>
                  </a:p>
                  <a:p>
                    <a:r>
                      <a:rPr lang="ru-RU" sz="800" b="1" dirty="0">
                        <a:latin typeface="Calibri" panose="020F0502020204030204" pitchFamily="34" charset="0"/>
                      </a:rPr>
                      <a:t>кроме акций</a:t>
                    </a:r>
                  </a:p>
                  <a:p>
                    <a:r>
                      <a:rPr lang="en-US" sz="800" dirty="0">
                        <a:latin typeface="Calibri" panose="020F0502020204030204" pitchFamily="34" charset="0"/>
                        <a:cs typeface="Times New Roman"/>
                      </a:rPr>
                      <a:t>€</a:t>
                    </a:r>
                    <a:r>
                      <a:rPr lang="ru-RU" sz="800" dirty="0">
                        <a:latin typeface="Calibri" panose="020F0502020204030204" pitchFamily="34" charset="0"/>
                        <a:cs typeface="Times New Roman"/>
                      </a:rPr>
                      <a:t>946,51</a:t>
                    </a:r>
                  </a:p>
                  <a:p>
                    <a:r>
                      <a:rPr lang="en-US" sz="800" dirty="0">
                        <a:latin typeface="Calibri" panose="020F0502020204030204" pitchFamily="34" charset="0"/>
                      </a:rPr>
                      <a:t>46,50%</a:t>
                    </a:r>
                  </a:p>
                </c:rich>
              </c:tx>
              <c:dLblPos val="bestFit"/>
              <c:showLegendKey val="0"/>
              <c:showVal val="1"/>
              <c:showCatName val="0"/>
              <c:showSerName val="0"/>
              <c:showPercent val="0"/>
              <c:showBubbleSize val="0"/>
            </c:dLbl>
            <c:dLbl>
              <c:idx val="3"/>
              <c:layout>
                <c:manualLayout>
                  <c:x val="-0.15000021872265967"/>
                  <c:y val="-6.39211433399791E-2"/>
                </c:manualLayout>
              </c:layout>
              <c:tx>
                <c:rich>
                  <a:bodyPr/>
                  <a:lstStyle/>
                  <a:p>
                    <a:r>
                      <a:rPr lang="ru-RU" sz="800" b="1">
                        <a:latin typeface="Calibri" panose="020F0502020204030204" pitchFamily="34" charset="0"/>
                      </a:rPr>
                      <a:t>Акции </a:t>
                    </a:r>
                    <a:r>
                      <a:rPr lang="ru-RU" sz="800">
                        <a:latin typeface="Calibri" panose="020F0502020204030204" pitchFamily="34" charset="0"/>
                        <a:cs typeface="Times New Roman"/>
                      </a:rPr>
                      <a:t>€460,64</a:t>
                    </a:r>
                  </a:p>
                  <a:p>
                    <a:r>
                      <a:rPr lang="en-US" sz="800">
                        <a:latin typeface="Calibri" panose="020F0502020204030204" pitchFamily="34" charset="0"/>
                      </a:rPr>
                      <a:t>22,63%</a:t>
                    </a:r>
                    <a:endParaRPr lang="en-US" sz="800"/>
                  </a:p>
                </c:rich>
              </c:tx>
              <c:dLblPos val="bestFit"/>
              <c:showLegendKey val="0"/>
              <c:showVal val="1"/>
              <c:showCatName val="0"/>
              <c:showSerName val="0"/>
              <c:showPercent val="0"/>
              <c:showBubbleSize val="0"/>
            </c:dLbl>
            <c:dLbl>
              <c:idx val="4"/>
              <c:layout>
                <c:manualLayout>
                  <c:x val="2.7777559055118112E-2"/>
                  <c:y val="-0.1527781423155439"/>
                </c:manualLayout>
              </c:layout>
              <c:tx>
                <c:rich>
                  <a:bodyPr/>
                  <a:lstStyle/>
                  <a:p>
                    <a:r>
                      <a:rPr lang="ru-RU" sz="800" b="1">
                        <a:latin typeface="Calibri" panose="020F0502020204030204" pitchFamily="34" charset="0"/>
                      </a:rPr>
                      <a:t>Фонды </a:t>
                    </a:r>
                  </a:p>
                  <a:p>
                    <a:r>
                      <a:rPr lang="ru-RU" sz="800" b="1">
                        <a:latin typeface="Calibri" panose="020F0502020204030204" pitchFamily="34" charset="0"/>
                      </a:rPr>
                      <a:t>денежного рынка </a:t>
                    </a:r>
                  </a:p>
                  <a:p>
                    <a:r>
                      <a:rPr lang="ru-RU" sz="800">
                        <a:latin typeface="Calibri" panose="020F0502020204030204" pitchFamily="34" charset="0"/>
                        <a:cs typeface="Times New Roman"/>
                      </a:rPr>
                      <a:t>€16,45</a:t>
                    </a:r>
                    <a:endParaRPr lang="ru-RU" sz="800">
                      <a:latin typeface="Calibri" panose="020F0502020204030204" pitchFamily="34" charset="0"/>
                    </a:endParaRPr>
                  </a:p>
                  <a:p>
                    <a:r>
                      <a:rPr lang="en-US" sz="800">
                        <a:latin typeface="Calibri" panose="020F0502020204030204" pitchFamily="34" charset="0"/>
                      </a:rPr>
                      <a:t>0,81%</a:t>
                    </a:r>
                    <a:endParaRPr lang="en-US" sz="800"/>
                  </a:p>
                </c:rich>
              </c:tx>
              <c:dLblPos val="bestFit"/>
              <c:showLegendKey val="0"/>
              <c:showVal val="1"/>
              <c:showCatName val="0"/>
              <c:showSerName val="0"/>
              <c:showPercent val="0"/>
              <c:showBubbleSize val="0"/>
            </c:dLbl>
            <c:dLbl>
              <c:idx val="5"/>
              <c:layout>
                <c:manualLayout>
                  <c:x val="0.12222200349956255"/>
                  <c:y val="-3.8849156102820984E-2"/>
                </c:manualLayout>
              </c:layout>
              <c:tx>
                <c:rich>
                  <a:bodyPr/>
                  <a:lstStyle/>
                  <a:p>
                    <a:r>
                      <a:rPr lang="ru-RU" sz="800" b="1">
                        <a:latin typeface="Calibri" panose="020F0502020204030204" pitchFamily="34" charset="0"/>
                      </a:rPr>
                      <a:t>Страховые контракты </a:t>
                    </a:r>
                  </a:p>
                  <a:p>
                    <a:r>
                      <a:rPr lang="ru-RU" sz="800">
                        <a:latin typeface="Calibri" panose="020F0502020204030204" pitchFamily="34" charset="0"/>
                        <a:cs typeface="Times New Roman"/>
                      </a:rPr>
                      <a:t>€48,07</a:t>
                    </a:r>
                    <a:endParaRPr lang="ru-RU" sz="800">
                      <a:latin typeface="Calibri" panose="020F0502020204030204" pitchFamily="34" charset="0"/>
                    </a:endParaRPr>
                  </a:p>
                  <a:p>
                    <a:r>
                      <a:rPr lang="en-US" sz="800">
                        <a:latin typeface="Calibri" panose="020F0502020204030204" pitchFamily="34" charset="0"/>
                      </a:rPr>
                      <a:t>2,36%</a:t>
                    </a:r>
                    <a:endParaRPr lang="en-US" sz="800">
                      <a:latin typeface="+mn-lt"/>
                    </a:endParaRPr>
                  </a:p>
                </c:rich>
              </c:tx>
              <c:dLblPos val="bestFit"/>
              <c:showLegendKey val="0"/>
              <c:showVal val="1"/>
              <c:showCatName val="0"/>
              <c:showSerName val="0"/>
              <c:showPercent val="0"/>
              <c:showBubbleSize val="0"/>
            </c:dLbl>
            <c:dLbl>
              <c:idx val="6"/>
              <c:layout>
                <c:manualLayout>
                  <c:x val="-4.3744531933508311E-7"/>
                  <c:y val="6.5396584233797629E-3"/>
                </c:manualLayout>
              </c:layout>
              <c:tx>
                <c:rich>
                  <a:bodyPr/>
                  <a:lstStyle/>
                  <a:p>
                    <a:r>
                      <a:rPr lang="ru-RU" sz="800" b="1" dirty="0">
                        <a:latin typeface="Calibri" panose="020F0502020204030204" pitchFamily="34" charset="0"/>
                      </a:rPr>
                      <a:t>Нефинансовые активы </a:t>
                    </a:r>
                  </a:p>
                  <a:p>
                    <a:r>
                      <a:rPr lang="ru-RU" sz="800" dirty="0">
                        <a:latin typeface="Calibri" panose="020F0502020204030204" pitchFamily="34" charset="0"/>
                        <a:cs typeface="Times New Roman"/>
                      </a:rPr>
                      <a:t>€74,4</a:t>
                    </a:r>
                    <a:r>
                      <a:rPr lang="ru-RU" sz="800" dirty="0">
                        <a:latin typeface="Calibri" panose="020F0502020204030204" pitchFamily="34" charset="0"/>
                      </a:rPr>
                      <a:t> </a:t>
                    </a:r>
                  </a:p>
                  <a:p>
                    <a:r>
                      <a:rPr lang="en-US" sz="800" dirty="0">
                        <a:latin typeface="Calibri" panose="020F0502020204030204" pitchFamily="34" charset="0"/>
                      </a:rPr>
                      <a:t>3,65%</a:t>
                    </a:r>
                    <a:endParaRPr lang="en-US" sz="800" dirty="0">
                      <a:latin typeface="+mn-lt"/>
                    </a:endParaRPr>
                  </a:p>
                </c:rich>
              </c:tx>
              <c:dLblPos val="bestFit"/>
              <c:showLegendKey val="0"/>
              <c:showVal val="1"/>
              <c:showCatName val="0"/>
              <c:showSerName val="0"/>
              <c:showPercent val="0"/>
              <c:showBubbleSize val="0"/>
            </c:dLbl>
            <c:dLbl>
              <c:idx val="7"/>
              <c:layout>
                <c:manualLayout>
                  <c:x val="-0.10833333333333334"/>
                  <c:y val="-8.4875562720133283E-17"/>
                </c:manualLayout>
              </c:layout>
              <c:tx>
                <c:rich>
                  <a:bodyPr/>
                  <a:lstStyle/>
                  <a:p>
                    <a:r>
                      <a:rPr lang="ru-RU" sz="800" b="1">
                        <a:latin typeface="Calibri" panose="020F0502020204030204" pitchFamily="34" charset="0"/>
                      </a:rPr>
                      <a:t>Прочее</a:t>
                    </a:r>
                  </a:p>
                  <a:p>
                    <a:r>
                      <a:rPr lang="en-US" sz="800">
                        <a:latin typeface="Calibri" panose="020F0502020204030204" pitchFamily="34" charset="0"/>
                      </a:rPr>
                      <a:t>6,82%</a:t>
                    </a:r>
                    <a:endParaRPr lang="en-US" sz="800">
                      <a:latin typeface="+mn-lt"/>
                    </a:endParaRPr>
                  </a:p>
                </c:rich>
              </c:tx>
              <c:dLblPos val="bestFit"/>
              <c:showLegendKey val="0"/>
              <c:showVal val="1"/>
              <c:showCatName val="0"/>
              <c:showSerName val="0"/>
              <c:showPercent val="0"/>
              <c:showBubbleSize val="0"/>
            </c:dLbl>
            <c:txPr>
              <a:bodyPr/>
              <a:lstStyle/>
              <a:p>
                <a:pPr>
                  <a:defRPr>
                    <a:latin typeface="Calibri" panose="020F0502020204030204" pitchFamily="34" charset="0"/>
                  </a:defRPr>
                </a:pPr>
                <a:endParaRPr lang="ru-RU"/>
              </a:p>
            </c:txPr>
            <c:dLblPos val="outEnd"/>
            <c:showLegendKey val="0"/>
            <c:showVal val="1"/>
            <c:showCatName val="0"/>
            <c:showSerName val="0"/>
            <c:showPercent val="0"/>
            <c:showBubbleSize val="0"/>
            <c:showLeaderLines val="1"/>
          </c:dLbls>
          <c:val>
            <c:numRef>
              <c:f>(EU!$P$13;EU!$Z$13;EU!$AI$13;EU!$AR$13;EU!$BH$13;EU!$BQ$13;EU!$CJ$13)</c:f>
              <c:numCache>
                <c:formatCode>0.00%</c:formatCode>
                <c:ptCount val="7"/>
                <c:pt idx="0">
                  <c:v>0.18103448275862066</c:v>
                </c:pt>
                <c:pt idx="1">
                  <c:v>5.9446839080459765E-2</c:v>
                </c:pt>
                <c:pt idx="2">
                  <c:v>0.46497844827586199</c:v>
                </c:pt>
                <c:pt idx="3">
                  <c:v>0.22629310344827583</c:v>
                </c:pt>
                <c:pt idx="4">
                  <c:v>8.0818965517241367E-3</c:v>
                </c:pt>
                <c:pt idx="5">
                  <c:v>2.3617097701149423E-2</c:v>
                </c:pt>
                <c:pt idx="6">
                  <c:v>3.6548132183908046E-2</c:v>
                </c:pt>
              </c:numCache>
            </c:numRef>
          </c:val>
        </c:ser>
        <c:dLbls>
          <c:dLblPos val="outEnd"/>
          <c:showLegendKey val="0"/>
          <c:showVal val="1"/>
          <c:showCatName val="0"/>
          <c:showSerName val="0"/>
          <c:showPercent val="0"/>
          <c:showBubbleSize val="0"/>
          <c:showLeaderLines val="1"/>
        </c:dLbls>
        <c:gapWidth val="100"/>
        <c:splitType val="cust"/>
        <c:custSplit>
          <c:secondPiePt val="1"/>
          <c:secondPiePt val="4"/>
          <c:secondPiePt val="5"/>
          <c:secondPiePt val="6"/>
        </c:custSplit>
        <c:secondPieSize val="75"/>
        <c:serLines/>
      </c:ofPieChart>
    </c:plotArea>
    <c:plotVisOnly val="1"/>
    <c:dispBlanksAs val="gap"/>
    <c:showDLblsOverMax val="0"/>
  </c:chart>
  <c:spPr>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Лист1!$C$48</c:f>
              <c:strCache>
                <c:ptCount val="1"/>
                <c:pt idx="0">
                  <c:v>Внебиржевые акции</c:v>
                </c:pt>
              </c:strCache>
            </c:strRef>
          </c:tx>
          <c:spPr>
            <a:solidFill>
              <a:srgbClr val="A3C9AC"/>
            </a:solidFill>
          </c:spPr>
          <c:invertIfNegative val="0"/>
          <c:dLbls>
            <c:dLbl>
              <c:idx val="0"/>
              <c:layout>
                <c:manualLayout>
                  <c:x val="0"/>
                  <c:y val="-9.0292359288422289E-3"/>
                </c:manualLayout>
              </c:layout>
              <c:dLblPos val="ctr"/>
              <c:showLegendKey val="0"/>
              <c:showVal val="1"/>
              <c:showCatName val="0"/>
              <c:showSerName val="0"/>
              <c:showPercent val="0"/>
              <c:showBubbleSize val="0"/>
            </c:dLbl>
            <c:dLbl>
              <c:idx val="2"/>
              <c:layout>
                <c:manualLayout>
                  <c:x val="0"/>
                  <c:y val="6.7330125400991538E-4"/>
                </c:manualLayout>
              </c:layout>
              <c:dLblPos val="ctr"/>
              <c:showLegendKey val="0"/>
              <c:showVal val="1"/>
              <c:showCatName val="0"/>
              <c:showSerName val="0"/>
              <c:showPercent val="0"/>
              <c:showBubbleSize val="0"/>
            </c:dLbl>
            <c:dLbl>
              <c:idx val="3"/>
              <c:layout>
                <c:manualLayout>
                  <c:x val="-8.120984074218733E-17"/>
                  <c:y val="-2.0199766695829773E-2"/>
                </c:manualLayout>
              </c:layout>
              <c:dLblPos val="ctr"/>
              <c:showLegendKey val="0"/>
              <c:showVal val="1"/>
              <c:showCatName val="0"/>
              <c:showSerName val="0"/>
              <c:showPercent val="0"/>
              <c:showBubbleSize val="0"/>
            </c:dLbl>
            <c:dLblPos val="inBase"/>
            <c:showLegendKey val="0"/>
            <c:showVal val="1"/>
            <c:showCatName val="0"/>
            <c:showSerName val="0"/>
            <c:showPercent val="0"/>
            <c:showBubbleSize val="0"/>
            <c:showLeaderLines val="0"/>
          </c:dLbls>
          <c:cat>
            <c:numRef>
              <c:f>Лист1!$B$49:$B$52</c:f>
              <c:numCache>
                <c:formatCode>General</c:formatCode>
                <c:ptCount val="4"/>
                <c:pt idx="0">
                  <c:v>2004</c:v>
                </c:pt>
                <c:pt idx="1">
                  <c:v>2007</c:v>
                </c:pt>
                <c:pt idx="2">
                  <c:v>2013</c:v>
                </c:pt>
                <c:pt idx="3">
                  <c:v>2020</c:v>
                </c:pt>
              </c:numCache>
            </c:numRef>
          </c:cat>
          <c:val>
            <c:numRef>
              <c:f>Лист1!$C$49:$C$52</c:f>
              <c:numCache>
                <c:formatCode>General</c:formatCode>
                <c:ptCount val="4"/>
                <c:pt idx="0">
                  <c:v>1</c:v>
                </c:pt>
                <c:pt idx="1">
                  <c:v>2.5</c:v>
                </c:pt>
                <c:pt idx="2">
                  <c:v>3.6</c:v>
                </c:pt>
                <c:pt idx="3">
                  <c:v>6.5</c:v>
                </c:pt>
              </c:numCache>
            </c:numRef>
          </c:val>
        </c:ser>
        <c:ser>
          <c:idx val="1"/>
          <c:order val="1"/>
          <c:tx>
            <c:strRef>
              <c:f>Лист1!$D$48</c:f>
              <c:strCache>
                <c:ptCount val="1"/>
                <c:pt idx="0">
                  <c:v>Реальные активы</c:v>
                </c:pt>
              </c:strCache>
            </c:strRef>
          </c:tx>
          <c:spPr>
            <a:solidFill>
              <a:srgbClr val="FF9900"/>
            </a:solidFill>
          </c:spPr>
          <c:invertIfNegative val="0"/>
          <c:dLbls>
            <c:dLbl>
              <c:idx val="0"/>
              <c:layout>
                <c:manualLayout>
                  <c:x val="-5.0941306755260242E-2"/>
                  <c:y val="-1.2795275590552879E-3"/>
                </c:manualLayout>
              </c:layout>
              <c:dLblPos val="ctr"/>
              <c:showLegendKey val="0"/>
              <c:showVal val="1"/>
              <c:showCatName val="0"/>
              <c:showSerName val="0"/>
              <c:showPercent val="0"/>
              <c:showBubbleSize val="0"/>
            </c:dLbl>
            <c:dLbl>
              <c:idx val="1"/>
              <c:layout>
                <c:manualLayout>
                  <c:x val="-2.2150138209468409E-3"/>
                  <c:y val="-4.7562936123194538E-3"/>
                </c:manualLayout>
              </c:layout>
              <c:dLblPos val="ctr"/>
              <c:showLegendKey val="0"/>
              <c:showVal val="1"/>
              <c:showCatName val="0"/>
              <c:showSerName val="0"/>
              <c:showPercent val="0"/>
              <c:showBubbleSize val="0"/>
            </c:dLbl>
            <c:dLbl>
              <c:idx val="2"/>
              <c:layout>
                <c:manualLayout>
                  <c:x val="0"/>
                  <c:y val="-5.0433799941673957E-3"/>
                </c:manualLayout>
              </c:layout>
              <c:dLblPos val="ctr"/>
              <c:showLegendKey val="0"/>
              <c:showVal val="1"/>
              <c:showCatName val="0"/>
              <c:showSerName val="0"/>
              <c:showPercent val="0"/>
              <c:showBubbleSize val="0"/>
            </c:dLbl>
            <c:dLbl>
              <c:idx val="3"/>
              <c:layout>
                <c:manualLayout>
                  <c:x val="-1.7439680505053147E-7"/>
                  <c:y val="1.2977544473615954E-4"/>
                </c:manualLayout>
              </c:layout>
              <c:dLblPos val="ctr"/>
              <c:showLegendKey val="0"/>
              <c:showVal val="1"/>
              <c:showCatName val="0"/>
              <c:showSerName val="0"/>
              <c:showPercent val="0"/>
              <c:showBubbleSize val="0"/>
            </c:dLbl>
            <c:dLblPos val="inBase"/>
            <c:showLegendKey val="0"/>
            <c:showVal val="1"/>
            <c:showCatName val="0"/>
            <c:showSerName val="0"/>
            <c:showPercent val="0"/>
            <c:showBubbleSize val="0"/>
            <c:showLeaderLines val="0"/>
          </c:dLbls>
          <c:cat>
            <c:numRef>
              <c:f>Лист1!$B$49:$B$52</c:f>
              <c:numCache>
                <c:formatCode>General</c:formatCode>
                <c:ptCount val="4"/>
                <c:pt idx="0">
                  <c:v>2004</c:v>
                </c:pt>
                <c:pt idx="1">
                  <c:v>2007</c:v>
                </c:pt>
                <c:pt idx="2">
                  <c:v>2013</c:v>
                </c:pt>
                <c:pt idx="3">
                  <c:v>2020</c:v>
                </c:pt>
              </c:numCache>
            </c:numRef>
          </c:cat>
          <c:val>
            <c:numRef>
              <c:f>Лист1!$D$49:$D$52</c:f>
              <c:numCache>
                <c:formatCode>General</c:formatCode>
                <c:ptCount val="4"/>
                <c:pt idx="0">
                  <c:v>0.5</c:v>
                </c:pt>
                <c:pt idx="1">
                  <c:v>0.8</c:v>
                </c:pt>
                <c:pt idx="2">
                  <c:v>1.4</c:v>
                </c:pt>
                <c:pt idx="3">
                  <c:v>2.5</c:v>
                </c:pt>
              </c:numCache>
            </c:numRef>
          </c:val>
        </c:ser>
        <c:ser>
          <c:idx val="2"/>
          <c:order val="2"/>
          <c:tx>
            <c:strRef>
              <c:f>Лист1!$E$48</c:f>
              <c:strCache>
                <c:ptCount val="1"/>
                <c:pt idx="0">
                  <c:v>Хедж фонды</c:v>
                </c:pt>
              </c:strCache>
            </c:strRef>
          </c:tx>
          <c:spPr>
            <a:solidFill>
              <a:srgbClr val="006C4E"/>
            </a:solidFill>
          </c:spPr>
          <c:invertIfNegative val="0"/>
          <c:dLbls>
            <c:dLbl>
              <c:idx val="0"/>
              <c:layout>
                <c:manualLayout>
                  <c:x val="0"/>
                  <c:y val="2.3002333041703121E-4"/>
                </c:manualLayout>
              </c:layout>
              <c:dLblPos val="ctr"/>
              <c:showLegendKey val="0"/>
              <c:showVal val="1"/>
              <c:showCatName val="0"/>
              <c:showSerName val="0"/>
              <c:showPercent val="0"/>
              <c:showBubbleSize val="0"/>
            </c:dLbl>
            <c:dLbl>
              <c:idx val="2"/>
              <c:layout>
                <c:manualLayout>
                  <c:x val="0"/>
                  <c:y val="-5.1436278798483524E-4"/>
                </c:manualLayout>
              </c:layout>
              <c:dLblPos val="ctr"/>
              <c:showLegendKey val="0"/>
              <c:showVal val="1"/>
              <c:showCatName val="0"/>
              <c:showSerName val="0"/>
              <c:showPercent val="0"/>
              <c:showBubbleSize val="0"/>
            </c:dLbl>
            <c:dLbl>
              <c:idx val="3"/>
              <c:layout>
                <c:manualLayout>
                  <c:x val="-1.7439680505053147E-7"/>
                  <c:y val="-9.375911344415706E-4"/>
                </c:manualLayout>
              </c:layout>
              <c:dLblPos val="ctr"/>
              <c:showLegendKey val="0"/>
              <c:showVal val="1"/>
              <c:showCatName val="0"/>
              <c:showSerName val="0"/>
              <c:showPercent val="0"/>
              <c:showBubbleSize val="0"/>
            </c:dLbl>
            <c:txPr>
              <a:bodyPr/>
              <a:lstStyle/>
              <a:p>
                <a:pPr>
                  <a:defRPr>
                    <a:solidFill>
                      <a:schemeClr val="bg1"/>
                    </a:solidFill>
                  </a:defRPr>
                </a:pPr>
                <a:endParaRPr lang="ru-RU"/>
              </a:p>
            </c:txPr>
            <c:dLblPos val="inBase"/>
            <c:showLegendKey val="0"/>
            <c:showVal val="1"/>
            <c:showCatName val="0"/>
            <c:showSerName val="0"/>
            <c:showPercent val="0"/>
            <c:showBubbleSize val="0"/>
            <c:showLeaderLines val="0"/>
          </c:dLbls>
          <c:cat>
            <c:numRef>
              <c:f>Лист1!$B$49:$B$52</c:f>
              <c:numCache>
                <c:formatCode>General</c:formatCode>
                <c:ptCount val="4"/>
                <c:pt idx="0">
                  <c:v>2004</c:v>
                </c:pt>
                <c:pt idx="1">
                  <c:v>2007</c:v>
                </c:pt>
                <c:pt idx="2">
                  <c:v>2013</c:v>
                </c:pt>
                <c:pt idx="3">
                  <c:v>2020</c:v>
                </c:pt>
              </c:numCache>
            </c:numRef>
          </c:cat>
          <c:val>
            <c:numRef>
              <c:f>Лист1!$E$49:$E$52</c:f>
              <c:numCache>
                <c:formatCode>General</c:formatCode>
                <c:ptCount val="4"/>
                <c:pt idx="0">
                  <c:v>1</c:v>
                </c:pt>
                <c:pt idx="1">
                  <c:v>2</c:v>
                </c:pt>
                <c:pt idx="2">
                  <c:v>2.9</c:v>
                </c:pt>
                <c:pt idx="3">
                  <c:v>4.5999999999999996</c:v>
                </c:pt>
              </c:numCache>
            </c:numRef>
          </c:val>
        </c:ser>
        <c:dLbls>
          <c:dLblPos val="inBase"/>
          <c:showLegendKey val="0"/>
          <c:showVal val="1"/>
          <c:showCatName val="0"/>
          <c:showSerName val="0"/>
          <c:showPercent val="0"/>
          <c:showBubbleSize val="0"/>
        </c:dLbls>
        <c:gapWidth val="150"/>
        <c:overlap val="100"/>
        <c:axId val="212784256"/>
        <c:axId val="212785792"/>
      </c:barChart>
      <c:catAx>
        <c:axId val="212784256"/>
        <c:scaling>
          <c:orientation val="minMax"/>
        </c:scaling>
        <c:delete val="0"/>
        <c:axPos val="b"/>
        <c:numFmt formatCode="General" sourceLinked="1"/>
        <c:majorTickMark val="out"/>
        <c:minorTickMark val="none"/>
        <c:tickLblPos val="nextTo"/>
        <c:crossAx val="212785792"/>
        <c:crosses val="autoZero"/>
        <c:auto val="1"/>
        <c:lblAlgn val="ctr"/>
        <c:lblOffset val="100"/>
        <c:noMultiLvlLbl val="0"/>
      </c:catAx>
      <c:valAx>
        <c:axId val="212785792"/>
        <c:scaling>
          <c:orientation val="minMax"/>
          <c:max val="14"/>
        </c:scaling>
        <c:delete val="0"/>
        <c:axPos val="l"/>
        <c:majorGridlines>
          <c:spPr>
            <a:ln>
              <a:solidFill>
                <a:schemeClr val="bg1">
                  <a:lumMod val="75000"/>
                </a:schemeClr>
              </a:solidFill>
              <a:prstDash val="dash"/>
            </a:ln>
          </c:spPr>
        </c:majorGridlines>
        <c:numFmt formatCode="General" sourceLinked="1"/>
        <c:majorTickMark val="out"/>
        <c:minorTickMark val="none"/>
        <c:tickLblPos val="nextTo"/>
        <c:crossAx val="21278425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invertIfNegative val="0"/>
          <c:dLbls>
            <c:txPr>
              <a:bodyPr/>
              <a:lstStyle/>
              <a:p>
                <a:pPr>
                  <a:defRPr sz="900">
                    <a:latin typeface="+mn-lt"/>
                    <a:cs typeface="Arial" panose="020B0604020202020204" pitchFamily="34" charset="0"/>
                  </a:defRPr>
                </a:pPr>
                <a:endParaRPr lang="ru-RU"/>
              </a:p>
            </c:txPr>
            <c:showLegendKey val="0"/>
            <c:showVal val="1"/>
            <c:showCatName val="0"/>
            <c:showSerName val="0"/>
            <c:showPercent val="0"/>
            <c:showBubbleSize val="0"/>
            <c:showLeaderLines val="0"/>
          </c:dLbls>
          <c:cat>
            <c:strRef>
              <c:f>Лист1!$A$1:$A$20</c:f>
              <c:strCache>
                <c:ptCount val="20"/>
                <c:pt idx="0">
                  <c:v>Турция</c:v>
                </c:pt>
                <c:pt idx="1">
                  <c:v>Польша</c:v>
                </c:pt>
                <c:pt idx="2">
                  <c:v>Чехия</c:v>
                </c:pt>
                <c:pt idx="3">
                  <c:v>Мексика</c:v>
                </c:pt>
                <c:pt idx="4">
                  <c:v>Израиль</c:v>
                </c:pt>
                <c:pt idx="5">
                  <c:v>Япония</c:v>
                </c:pt>
                <c:pt idx="6">
                  <c:v>Исландия</c:v>
                </c:pt>
                <c:pt idx="7">
                  <c:v>Дания</c:v>
                </c:pt>
                <c:pt idx="8">
                  <c:v>Великобритания</c:v>
                </c:pt>
                <c:pt idx="9">
                  <c:v>Норвегия</c:v>
                </c:pt>
                <c:pt idx="10">
                  <c:v>Канада</c:v>
                </c:pt>
                <c:pt idx="11">
                  <c:v>Швейцария</c:v>
                </c:pt>
                <c:pt idx="12">
                  <c:v>Нидерланды</c:v>
                </c:pt>
                <c:pt idx="13">
                  <c:v>Словения</c:v>
                </c:pt>
                <c:pt idx="14">
                  <c:v>Чили</c:v>
                </c:pt>
                <c:pt idx="15">
                  <c:v>Португалия</c:v>
                </c:pt>
                <c:pt idx="16">
                  <c:v>Италия</c:v>
                </c:pt>
                <c:pt idx="17">
                  <c:v>Словакия</c:v>
                </c:pt>
                <c:pt idx="18">
                  <c:v>Люксембург</c:v>
                </c:pt>
                <c:pt idx="19">
                  <c:v>Эстония</c:v>
                </c:pt>
              </c:strCache>
            </c:strRef>
          </c:cat>
          <c:val>
            <c:numRef>
              <c:f>Лист1!$B$1:$B$20</c:f>
              <c:numCache>
                <c:formatCode>0.0</c:formatCode>
                <c:ptCount val="20"/>
                <c:pt idx="0">
                  <c:v>1</c:v>
                </c:pt>
                <c:pt idx="1">
                  <c:v>1.4</c:v>
                </c:pt>
                <c:pt idx="2">
                  <c:v>11.9</c:v>
                </c:pt>
                <c:pt idx="3">
                  <c:v>12.6</c:v>
                </c:pt>
                <c:pt idx="4">
                  <c:v>15.6</c:v>
                </c:pt>
                <c:pt idx="5">
                  <c:v>21.4</c:v>
                </c:pt>
                <c:pt idx="6">
                  <c:v>23.8</c:v>
                </c:pt>
                <c:pt idx="7">
                  <c:v>25.5</c:v>
                </c:pt>
                <c:pt idx="8">
                  <c:v>27.8</c:v>
                </c:pt>
                <c:pt idx="9">
                  <c:v>29</c:v>
                </c:pt>
                <c:pt idx="10">
                  <c:v>33.700000000000003</c:v>
                </c:pt>
                <c:pt idx="11">
                  <c:v>39.5</c:v>
                </c:pt>
                <c:pt idx="12">
                  <c:v>39.799999999999997</c:v>
                </c:pt>
                <c:pt idx="13">
                  <c:v>41.2</c:v>
                </c:pt>
                <c:pt idx="14">
                  <c:v>42.4</c:v>
                </c:pt>
                <c:pt idx="15">
                  <c:v>56</c:v>
                </c:pt>
                <c:pt idx="16">
                  <c:v>57.1</c:v>
                </c:pt>
                <c:pt idx="17">
                  <c:v>59.5</c:v>
                </c:pt>
                <c:pt idx="18">
                  <c:v>64.599999999999994</c:v>
                </c:pt>
                <c:pt idx="19">
                  <c:v>74.5</c:v>
                </c:pt>
              </c:numCache>
            </c:numRef>
          </c:val>
        </c:ser>
        <c:dLbls>
          <c:showLegendKey val="0"/>
          <c:showVal val="0"/>
          <c:showCatName val="0"/>
          <c:showSerName val="0"/>
          <c:showPercent val="0"/>
          <c:showBubbleSize val="0"/>
        </c:dLbls>
        <c:gapWidth val="150"/>
        <c:axId val="165952128"/>
        <c:axId val="165958016"/>
      </c:barChart>
      <c:catAx>
        <c:axId val="165952128"/>
        <c:scaling>
          <c:orientation val="minMax"/>
        </c:scaling>
        <c:delete val="0"/>
        <c:axPos val="l"/>
        <c:majorTickMark val="out"/>
        <c:minorTickMark val="none"/>
        <c:tickLblPos val="nextTo"/>
        <c:txPr>
          <a:bodyPr/>
          <a:lstStyle/>
          <a:p>
            <a:pPr>
              <a:defRPr sz="900">
                <a:latin typeface="+mn-lt"/>
                <a:cs typeface="Arial" panose="020B0604020202020204" pitchFamily="34" charset="0"/>
              </a:defRPr>
            </a:pPr>
            <a:endParaRPr lang="ru-RU"/>
          </a:p>
        </c:txPr>
        <c:crossAx val="165958016"/>
        <c:crosses val="autoZero"/>
        <c:auto val="1"/>
        <c:lblAlgn val="ctr"/>
        <c:lblOffset val="100"/>
        <c:tickLblSkip val="1"/>
        <c:noMultiLvlLbl val="0"/>
      </c:catAx>
      <c:valAx>
        <c:axId val="165958016"/>
        <c:scaling>
          <c:orientation val="minMax"/>
        </c:scaling>
        <c:delete val="0"/>
        <c:axPos val="b"/>
        <c:majorGridlines>
          <c:spPr>
            <a:ln>
              <a:solidFill>
                <a:schemeClr val="bg1">
                  <a:lumMod val="85000"/>
                </a:schemeClr>
              </a:solidFill>
            </a:ln>
          </c:spPr>
        </c:majorGridlines>
        <c:numFmt formatCode="0" sourceLinked="0"/>
        <c:majorTickMark val="out"/>
        <c:minorTickMark val="none"/>
        <c:tickLblPos val="nextTo"/>
        <c:txPr>
          <a:bodyPr/>
          <a:lstStyle/>
          <a:p>
            <a:pPr>
              <a:defRPr sz="900"/>
            </a:pPr>
            <a:endParaRPr lang="ru-RU"/>
          </a:p>
        </c:txPr>
        <c:crossAx val="165952128"/>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
    <a:dk1>
      <a:srgbClr val="000000"/>
    </a:dk1>
    <a:lt1>
      <a:srgbClr val="FFFFFF"/>
    </a:lt1>
    <a:dk2>
      <a:srgbClr val="5F5F5F"/>
    </a:dk2>
    <a:lt2>
      <a:srgbClr val="808080"/>
    </a:lt2>
    <a:accent1>
      <a:srgbClr val="42A62A"/>
    </a:accent1>
    <a:accent2>
      <a:srgbClr val="00694E"/>
    </a:accent2>
    <a:accent3>
      <a:srgbClr val="FFFFFF"/>
    </a:accent3>
    <a:accent4>
      <a:srgbClr val="000000"/>
    </a:accent4>
    <a:accent5>
      <a:srgbClr val="B0D0AC"/>
    </a:accent5>
    <a:accent6>
      <a:srgbClr val="005E46"/>
    </a:accent6>
    <a:hlink>
      <a:srgbClr val="FFCC00"/>
    </a:hlink>
    <a:folHlink>
      <a:srgbClr val="FF99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
    <a:dk1>
      <a:srgbClr val="000000"/>
    </a:dk1>
    <a:lt1>
      <a:srgbClr val="FFFFFF"/>
    </a:lt1>
    <a:dk2>
      <a:srgbClr val="5F5F5F"/>
    </a:dk2>
    <a:lt2>
      <a:srgbClr val="808080"/>
    </a:lt2>
    <a:accent1>
      <a:srgbClr val="42A62A"/>
    </a:accent1>
    <a:accent2>
      <a:srgbClr val="00694E"/>
    </a:accent2>
    <a:accent3>
      <a:srgbClr val="FFFFFF"/>
    </a:accent3>
    <a:accent4>
      <a:srgbClr val="000000"/>
    </a:accent4>
    <a:accent5>
      <a:srgbClr val="B0D0AC"/>
    </a:accent5>
    <a:accent6>
      <a:srgbClr val="005E46"/>
    </a:accent6>
    <a:hlink>
      <a:srgbClr val="FFCC00"/>
    </a:hlink>
    <a:folHlink>
      <a:srgbClr val="FF99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
    <a:dk1>
      <a:srgbClr val="000000"/>
    </a:dk1>
    <a:lt1>
      <a:srgbClr val="FFFFFF"/>
    </a:lt1>
    <a:dk2>
      <a:srgbClr val="5F5F5F"/>
    </a:dk2>
    <a:lt2>
      <a:srgbClr val="808080"/>
    </a:lt2>
    <a:accent1>
      <a:srgbClr val="42A62A"/>
    </a:accent1>
    <a:accent2>
      <a:srgbClr val="00694E"/>
    </a:accent2>
    <a:accent3>
      <a:srgbClr val="FFFFFF"/>
    </a:accent3>
    <a:accent4>
      <a:srgbClr val="000000"/>
    </a:accent4>
    <a:accent5>
      <a:srgbClr val="B0D0AC"/>
    </a:accent5>
    <a:accent6>
      <a:srgbClr val="005E46"/>
    </a:accent6>
    <a:hlink>
      <a:srgbClr val="FFCC00"/>
    </a:hlink>
    <a:folHlink>
      <a:srgbClr val="FF9900"/>
    </a:folHlink>
  </a:clrScheme>
  <a:fontScheme name="Оформление по умолчанию">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AF147-F302-4EF2-9859-53B2A69C4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44</Pages>
  <Words>8552</Words>
  <Characters>48751</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Комаров Алексей Константинович</dc:creator>
  <cp:lastModifiedBy>Комаров Алексей Константинович</cp:lastModifiedBy>
  <cp:revision>2</cp:revision>
  <dcterms:created xsi:type="dcterms:W3CDTF">2015-09-04T10:34:00Z</dcterms:created>
  <dcterms:modified xsi:type="dcterms:W3CDTF">2015-09-04T11:41:00Z</dcterms:modified>
</cp:coreProperties>
</file>