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44" w:rsidRDefault="002F6544" w:rsidP="00493680">
      <w:pPr>
        <w:ind w:firstLine="709"/>
        <w:jc w:val="both"/>
        <w:rPr>
          <w:rFonts w:cs="Times New Roman"/>
        </w:rPr>
      </w:pPr>
    </w:p>
    <w:p w:rsidR="002F6544" w:rsidRDefault="002F6544" w:rsidP="00493680">
      <w:pPr>
        <w:ind w:firstLine="709"/>
        <w:jc w:val="both"/>
        <w:rPr>
          <w:rFonts w:cs="Times New Roman"/>
        </w:rPr>
      </w:pPr>
    </w:p>
    <w:p w:rsidR="002F6544" w:rsidRDefault="002F6544" w:rsidP="002F6544">
      <w:pPr>
        <w:ind w:firstLine="709"/>
        <w:jc w:val="center"/>
        <w:rPr>
          <w:rFonts w:cs="Times New Roman"/>
          <w:b/>
          <w:sz w:val="28"/>
          <w:szCs w:val="28"/>
        </w:rPr>
      </w:pPr>
      <w:r w:rsidRPr="002F6544">
        <w:rPr>
          <w:rFonts w:cs="Times New Roman"/>
          <w:b/>
          <w:sz w:val="28"/>
          <w:szCs w:val="28"/>
        </w:rPr>
        <w:t>Год подходит к концу</w:t>
      </w:r>
    </w:p>
    <w:p w:rsidR="00E05FE6" w:rsidRDefault="00E05FE6" w:rsidP="002F6544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D112B4" w:rsidRDefault="00D112B4" w:rsidP="002F6544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05FE6" w:rsidRDefault="00E05FE6" w:rsidP="00D112B4">
      <w:pPr>
        <w:ind w:firstLine="709"/>
        <w:jc w:val="right"/>
        <w:rPr>
          <w:rFonts w:cs="Times New Roman"/>
          <w:b/>
          <w:i/>
        </w:rPr>
      </w:pPr>
      <w:r>
        <w:rPr>
          <w:rFonts w:cs="Times New Roman"/>
          <w:b/>
          <w:i/>
          <w:noProof/>
        </w:rPr>
        <w:drawing>
          <wp:inline distT="0" distB="0" distL="0" distR="0">
            <wp:extent cx="1228725" cy="1228725"/>
            <wp:effectExtent l="0" t="0" r="9525" b="9525"/>
            <wp:docPr id="1" name="Рисунок 1" descr="Z:\Журнал Пенсионное обозрение\Фотографии\Разные\kana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рнал Пенсионное обозрение\Фотографии\Разные\kanah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68" cy="122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E6" w:rsidRDefault="00E05FE6" w:rsidP="00D112B4">
      <w:pPr>
        <w:ind w:firstLine="709"/>
        <w:jc w:val="right"/>
        <w:rPr>
          <w:rFonts w:cs="Times New Roman"/>
          <w:b/>
          <w:i/>
        </w:rPr>
      </w:pPr>
    </w:p>
    <w:p w:rsidR="00D112B4" w:rsidRPr="00D112B4" w:rsidRDefault="00D112B4" w:rsidP="00D112B4">
      <w:pPr>
        <w:ind w:firstLine="709"/>
        <w:jc w:val="right"/>
        <w:rPr>
          <w:rFonts w:cs="Times New Roman"/>
          <w:i/>
        </w:rPr>
      </w:pPr>
      <w:r w:rsidRPr="00D112B4">
        <w:rPr>
          <w:rFonts w:cs="Times New Roman"/>
          <w:b/>
          <w:i/>
        </w:rPr>
        <w:t xml:space="preserve">Евгения </w:t>
      </w:r>
      <w:proofErr w:type="spellStart"/>
      <w:r w:rsidRPr="00D112B4">
        <w:rPr>
          <w:rFonts w:cs="Times New Roman"/>
          <w:b/>
          <w:i/>
        </w:rPr>
        <w:t>Канахина</w:t>
      </w:r>
      <w:proofErr w:type="spellEnd"/>
      <w:r w:rsidRPr="00D112B4">
        <w:rPr>
          <w:rFonts w:cs="Times New Roman"/>
          <w:i/>
        </w:rPr>
        <w:t>,</w:t>
      </w:r>
    </w:p>
    <w:p w:rsidR="00D112B4" w:rsidRPr="00D112B4" w:rsidRDefault="00D112B4" w:rsidP="00D112B4">
      <w:pPr>
        <w:ind w:firstLine="709"/>
        <w:jc w:val="right"/>
        <w:rPr>
          <w:rFonts w:cs="Times New Roman"/>
          <w:i/>
          <w:sz w:val="20"/>
          <w:szCs w:val="20"/>
        </w:rPr>
      </w:pPr>
      <w:r w:rsidRPr="00D112B4">
        <w:rPr>
          <w:rFonts w:cs="Times New Roman"/>
          <w:i/>
          <w:sz w:val="20"/>
          <w:szCs w:val="20"/>
        </w:rPr>
        <w:t>Главный аналитик</w:t>
      </w:r>
    </w:p>
    <w:p w:rsidR="00D112B4" w:rsidRPr="00D112B4" w:rsidRDefault="00D112B4" w:rsidP="00D112B4">
      <w:pPr>
        <w:ind w:firstLine="709"/>
        <w:jc w:val="right"/>
        <w:rPr>
          <w:rFonts w:cs="Times New Roman"/>
          <w:i/>
          <w:sz w:val="20"/>
          <w:szCs w:val="20"/>
        </w:rPr>
      </w:pPr>
      <w:r w:rsidRPr="00D112B4">
        <w:rPr>
          <w:rFonts w:cs="Times New Roman"/>
          <w:i/>
          <w:sz w:val="20"/>
          <w:szCs w:val="20"/>
        </w:rPr>
        <w:t xml:space="preserve">«Паллада </w:t>
      </w:r>
      <w:proofErr w:type="spellStart"/>
      <w:r w:rsidRPr="00D112B4">
        <w:rPr>
          <w:rFonts w:cs="Times New Roman"/>
          <w:i/>
          <w:sz w:val="20"/>
          <w:szCs w:val="20"/>
        </w:rPr>
        <w:t>Эссет</w:t>
      </w:r>
      <w:proofErr w:type="spellEnd"/>
      <w:r w:rsidRPr="00D112B4">
        <w:rPr>
          <w:rFonts w:cs="Times New Roman"/>
          <w:i/>
          <w:sz w:val="20"/>
          <w:szCs w:val="20"/>
        </w:rPr>
        <w:t xml:space="preserve"> Менеджмент»</w:t>
      </w:r>
    </w:p>
    <w:p w:rsidR="002F6544" w:rsidRDefault="002F6544" w:rsidP="00493680">
      <w:pPr>
        <w:ind w:firstLine="709"/>
        <w:jc w:val="both"/>
        <w:rPr>
          <w:rFonts w:cs="Times New Roman"/>
        </w:rPr>
      </w:pPr>
    </w:p>
    <w:p w:rsidR="00E05FE6" w:rsidRPr="00E05FE6" w:rsidRDefault="00E05FE6" w:rsidP="00493680">
      <w:pPr>
        <w:ind w:firstLine="709"/>
        <w:jc w:val="both"/>
        <w:rPr>
          <w:rFonts w:cs="Times New Roman"/>
          <w:color w:val="000000" w:themeColor="text1"/>
        </w:rPr>
      </w:pPr>
    </w:p>
    <w:p w:rsidR="00B337C1" w:rsidRPr="00E05FE6" w:rsidRDefault="00D112B4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>Заканчивается 2013 год</w:t>
      </w:r>
      <w:r w:rsidR="00AE5D33" w:rsidRPr="00E05FE6">
        <w:rPr>
          <w:rFonts w:cs="Times New Roman"/>
          <w:color w:val="000000" w:themeColor="text1"/>
        </w:rPr>
        <w:t xml:space="preserve">, наступает время подведения итогов и составления прогнозов. В </w:t>
      </w:r>
      <w:r w:rsidRPr="00E05FE6">
        <w:rPr>
          <w:rFonts w:cs="Times New Roman"/>
          <w:color w:val="000000" w:themeColor="text1"/>
        </w:rPr>
        <w:t>истекшем</w:t>
      </w:r>
      <w:r w:rsidR="00AE5D33" w:rsidRPr="00E05FE6">
        <w:rPr>
          <w:rFonts w:cs="Times New Roman"/>
          <w:color w:val="000000" w:themeColor="text1"/>
        </w:rPr>
        <w:t xml:space="preserve"> году состояние и работа фондового рынка заинтересовали гораздо больше людей, чем раньше – и это связано с проводимой российским правительством реформой пенсионной системы</w:t>
      </w:r>
      <w:r w:rsidR="00493680" w:rsidRPr="00E05FE6">
        <w:rPr>
          <w:rFonts w:cs="Times New Roman"/>
          <w:color w:val="000000" w:themeColor="text1"/>
        </w:rPr>
        <w:t>. Реформа</w:t>
      </w:r>
      <w:r w:rsidRPr="00E05FE6">
        <w:rPr>
          <w:rFonts w:cs="Times New Roman"/>
          <w:color w:val="000000" w:themeColor="text1"/>
        </w:rPr>
        <w:t>,</w:t>
      </w:r>
      <w:r w:rsidR="00493680" w:rsidRPr="00E05FE6">
        <w:rPr>
          <w:rFonts w:cs="Times New Roman"/>
          <w:color w:val="000000" w:themeColor="text1"/>
        </w:rPr>
        <w:t xml:space="preserve"> в первую очередь</w:t>
      </w:r>
      <w:r w:rsidRPr="00E05FE6">
        <w:rPr>
          <w:rFonts w:cs="Times New Roman"/>
          <w:color w:val="000000" w:themeColor="text1"/>
        </w:rPr>
        <w:t>,</w:t>
      </w:r>
      <w:r w:rsidR="00493680" w:rsidRPr="00E05FE6">
        <w:rPr>
          <w:rFonts w:cs="Times New Roman"/>
          <w:color w:val="000000" w:themeColor="text1"/>
        </w:rPr>
        <w:t xml:space="preserve"> касается молодой и работоспособной части населения, которой пришлось </w:t>
      </w:r>
      <w:r w:rsidR="00AE5D33" w:rsidRPr="00E05FE6">
        <w:rPr>
          <w:rFonts w:cs="Times New Roman"/>
          <w:color w:val="000000" w:themeColor="text1"/>
        </w:rPr>
        <w:t>подсчитать накопления на старость</w:t>
      </w:r>
      <w:r w:rsidR="0047129F" w:rsidRPr="00E05FE6">
        <w:rPr>
          <w:rFonts w:cs="Times New Roman"/>
          <w:color w:val="000000" w:themeColor="text1"/>
        </w:rPr>
        <w:t>, разобраться, как и куда вкладываются сбережения</w:t>
      </w:r>
      <w:r w:rsidRPr="00E05FE6">
        <w:rPr>
          <w:rFonts w:cs="Times New Roman"/>
          <w:color w:val="000000" w:themeColor="text1"/>
        </w:rPr>
        <w:t>,</w:t>
      </w:r>
      <w:r w:rsidR="0047129F" w:rsidRPr="00E05FE6">
        <w:rPr>
          <w:rFonts w:cs="Times New Roman"/>
          <w:color w:val="000000" w:themeColor="text1"/>
        </w:rPr>
        <w:t xml:space="preserve"> </w:t>
      </w:r>
      <w:r w:rsidR="00AE5D33" w:rsidRPr="00E05FE6">
        <w:rPr>
          <w:rFonts w:cs="Times New Roman"/>
          <w:color w:val="000000" w:themeColor="text1"/>
        </w:rPr>
        <w:t xml:space="preserve">и принять решение относительно того, кому доверить управление уже накопленной суммой – государству или частным компаниям. Ну и, конечно же, что могут предложить по управлению те и другие. </w:t>
      </w:r>
    </w:p>
    <w:p w:rsidR="00B337C1" w:rsidRPr="00E05FE6" w:rsidRDefault="00AE5D33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Львиная </w:t>
      </w:r>
      <w:r w:rsidR="00D71708" w:rsidRPr="00E05FE6">
        <w:rPr>
          <w:rFonts w:cs="Times New Roman"/>
          <w:color w:val="000000" w:themeColor="text1"/>
        </w:rPr>
        <w:t>доля</w:t>
      </w:r>
      <w:r w:rsidRPr="00E05FE6">
        <w:rPr>
          <w:rFonts w:cs="Times New Roman"/>
          <w:color w:val="000000" w:themeColor="text1"/>
        </w:rPr>
        <w:t xml:space="preserve"> пенсионных денег, согласно </w:t>
      </w:r>
      <w:r w:rsidR="00D112B4" w:rsidRPr="00E05FE6">
        <w:rPr>
          <w:rFonts w:cs="Times New Roman"/>
          <w:color w:val="000000" w:themeColor="text1"/>
        </w:rPr>
        <w:t>законодательно установленным</w:t>
      </w:r>
      <w:r w:rsidRPr="00E05FE6">
        <w:rPr>
          <w:rFonts w:cs="Times New Roman"/>
          <w:color w:val="000000" w:themeColor="text1"/>
        </w:rPr>
        <w:t xml:space="preserve"> условиям размещения, вкладывается в облигации, которые являются наименее рисковым инструментом для инвестирования, ведь одним из определяющих принципов размещения пенсионных денег является их сохранность. </w:t>
      </w:r>
      <w:r w:rsidR="00D112B4" w:rsidRPr="00E05FE6">
        <w:rPr>
          <w:rFonts w:cs="Times New Roman"/>
          <w:color w:val="000000" w:themeColor="text1"/>
        </w:rPr>
        <w:t>П</w:t>
      </w:r>
      <w:r w:rsidRPr="00E05FE6">
        <w:rPr>
          <w:rFonts w:cs="Times New Roman"/>
          <w:color w:val="000000" w:themeColor="text1"/>
        </w:rPr>
        <w:t xml:space="preserve">риумножить средства и показать доходность, </w:t>
      </w:r>
      <w:r w:rsidR="00D112B4" w:rsidRPr="00E05FE6">
        <w:rPr>
          <w:rFonts w:cs="Times New Roman"/>
          <w:color w:val="000000" w:themeColor="text1"/>
        </w:rPr>
        <w:t>превышающую</w:t>
      </w:r>
      <w:r w:rsidRPr="00E05FE6">
        <w:rPr>
          <w:rFonts w:cs="Times New Roman"/>
          <w:color w:val="000000" w:themeColor="text1"/>
        </w:rPr>
        <w:t xml:space="preserve"> уровень инфляции</w:t>
      </w:r>
      <w:r w:rsidR="00F17AB7" w:rsidRPr="00E05FE6">
        <w:rPr>
          <w:rFonts w:cs="Times New Roman"/>
          <w:color w:val="000000" w:themeColor="text1"/>
        </w:rPr>
        <w:t>,</w:t>
      </w:r>
      <w:r w:rsidRPr="00E05FE6">
        <w:rPr>
          <w:rFonts w:cs="Times New Roman"/>
          <w:color w:val="000000" w:themeColor="text1"/>
        </w:rPr>
        <w:t xml:space="preserve"> позволяют </w:t>
      </w:r>
      <w:r w:rsidR="00493680" w:rsidRPr="00E05FE6">
        <w:rPr>
          <w:rFonts w:cs="Times New Roman"/>
          <w:color w:val="000000" w:themeColor="text1"/>
        </w:rPr>
        <w:t xml:space="preserve">потенциально более доходные, но и более рисковые </w:t>
      </w:r>
      <w:r w:rsidRPr="00E05FE6">
        <w:rPr>
          <w:rFonts w:cs="Times New Roman"/>
          <w:color w:val="000000" w:themeColor="text1"/>
        </w:rPr>
        <w:t xml:space="preserve">операции с акциями. </w:t>
      </w:r>
      <w:r w:rsidR="00B337C1" w:rsidRPr="00E05FE6">
        <w:rPr>
          <w:rFonts w:cs="Times New Roman"/>
          <w:color w:val="000000" w:themeColor="text1"/>
        </w:rPr>
        <w:t xml:space="preserve">Состояние и перспективы российского фондового рынка теперь интересует не только трейдеров, брокеров, управляющих и прочих участников рынка, но и простых граждан, которые интересуются своим будущим на пенсии. </w:t>
      </w:r>
    </w:p>
    <w:p w:rsidR="008043FD" w:rsidRPr="00E05FE6" w:rsidRDefault="007D5B6D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Инвестирование в акции </w:t>
      </w:r>
      <w:r w:rsidR="00AE5477" w:rsidRPr="00E05FE6">
        <w:rPr>
          <w:rFonts w:cs="Times New Roman"/>
          <w:color w:val="000000" w:themeColor="text1"/>
        </w:rPr>
        <w:t xml:space="preserve">относится к вложениям высокого риска, имеет свойство показывать не только высокий рост, но и существенные темпы снижения, </w:t>
      </w:r>
      <w:r w:rsidR="00D112B4" w:rsidRPr="00E05FE6">
        <w:rPr>
          <w:rFonts w:cs="Times New Roman"/>
          <w:color w:val="000000" w:themeColor="text1"/>
        </w:rPr>
        <w:t>однако</w:t>
      </w:r>
      <w:r w:rsidR="008043FD" w:rsidRPr="00E05FE6">
        <w:rPr>
          <w:rFonts w:cs="Times New Roman"/>
          <w:color w:val="000000" w:themeColor="text1"/>
        </w:rPr>
        <w:t xml:space="preserve"> использование в портфеле </w:t>
      </w:r>
      <w:r w:rsidR="00D112B4" w:rsidRPr="00E05FE6">
        <w:rPr>
          <w:rFonts w:cs="Times New Roman"/>
          <w:color w:val="000000" w:themeColor="text1"/>
        </w:rPr>
        <w:t>э</w:t>
      </w:r>
      <w:r w:rsidR="008043FD" w:rsidRPr="00E05FE6">
        <w:rPr>
          <w:rFonts w:cs="Times New Roman"/>
          <w:color w:val="000000" w:themeColor="text1"/>
        </w:rPr>
        <w:t xml:space="preserve">тих инструментов позволяет увеличить капитал и дать прибавку к пенсии. Позволит ли рынок в следующем году заработать </w:t>
      </w:r>
      <w:r w:rsidR="00D112B4" w:rsidRPr="00E05FE6">
        <w:rPr>
          <w:rFonts w:cs="Times New Roman"/>
          <w:color w:val="000000" w:themeColor="text1"/>
        </w:rPr>
        <w:t>будущим</w:t>
      </w:r>
      <w:r w:rsidR="008043FD" w:rsidRPr="00E05FE6">
        <w:rPr>
          <w:rFonts w:cs="Times New Roman"/>
          <w:color w:val="000000" w:themeColor="text1"/>
        </w:rPr>
        <w:t xml:space="preserve"> не пенсионерам себе на пенсию? </w:t>
      </w:r>
      <w:r w:rsidR="00140A2F" w:rsidRPr="00E05FE6">
        <w:rPr>
          <w:rFonts w:cs="Times New Roman"/>
          <w:color w:val="000000" w:themeColor="text1"/>
        </w:rPr>
        <w:t xml:space="preserve">Давайте посмотрим, с какими вызовами может столкнуться российский фондовый рынок в следующем году. </w:t>
      </w:r>
    </w:p>
    <w:p w:rsidR="008043FD" w:rsidRPr="00E05FE6" w:rsidRDefault="008043FD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Текущий год стал для российского рынка одним из самых </w:t>
      </w:r>
      <w:r w:rsidR="00D112B4" w:rsidRPr="00E05FE6">
        <w:rPr>
          <w:rFonts w:cs="Times New Roman"/>
          <w:color w:val="000000" w:themeColor="text1"/>
        </w:rPr>
        <w:t>«неурожайных»</w:t>
      </w:r>
      <w:r w:rsidRPr="00E05FE6">
        <w:rPr>
          <w:rFonts w:cs="Times New Roman"/>
          <w:color w:val="000000" w:themeColor="text1"/>
        </w:rPr>
        <w:t xml:space="preserve"> за всю посткризисную историю</w:t>
      </w:r>
      <w:r w:rsidR="00923C3A" w:rsidRPr="00E05FE6">
        <w:rPr>
          <w:rFonts w:cs="Times New Roman"/>
          <w:color w:val="000000" w:themeColor="text1"/>
        </w:rPr>
        <w:t>, точнее, вторым</w:t>
      </w:r>
      <w:r w:rsidR="007D5B6D" w:rsidRPr="00E05FE6">
        <w:rPr>
          <w:rFonts w:cs="Times New Roman"/>
          <w:color w:val="000000" w:themeColor="text1"/>
        </w:rPr>
        <w:t xml:space="preserve"> из шести</w:t>
      </w:r>
      <w:r w:rsidR="00923C3A" w:rsidRPr="00E05FE6">
        <w:rPr>
          <w:rFonts w:cs="Times New Roman"/>
          <w:color w:val="000000" w:themeColor="text1"/>
        </w:rPr>
        <w:t xml:space="preserve">, который покажет отрицательную доходность. Российский </w:t>
      </w:r>
      <w:r w:rsidR="007D5B6D" w:rsidRPr="00E05FE6">
        <w:rPr>
          <w:rFonts w:cs="Times New Roman"/>
          <w:color w:val="000000" w:themeColor="text1"/>
        </w:rPr>
        <w:t xml:space="preserve">индекс </w:t>
      </w:r>
      <w:r w:rsidR="00923C3A" w:rsidRPr="00E05FE6">
        <w:rPr>
          <w:rFonts w:cs="Times New Roman"/>
          <w:color w:val="000000" w:themeColor="text1"/>
        </w:rPr>
        <w:t xml:space="preserve">ММВБ </w:t>
      </w:r>
      <w:r w:rsidR="002161FE" w:rsidRPr="00E05FE6">
        <w:rPr>
          <w:rFonts w:cs="Times New Roman"/>
          <w:color w:val="000000" w:themeColor="text1"/>
        </w:rPr>
        <w:t xml:space="preserve">еще осенью колебался вблизи уровней начала года, </w:t>
      </w:r>
      <w:r w:rsidR="00D112B4" w:rsidRPr="00E05FE6">
        <w:rPr>
          <w:rFonts w:cs="Times New Roman"/>
          <w:color w:val="000000" w:themeColor="text1"/>
        </w:rPr>
        <w:t>а</w:t>
      </w:r>
      <w:r w:rsidR="002161FE" w:rsidRPr="00E05FE6">
        <w:rPr>
          <w:rFonts w:cs="Times New Roman"/>
          <w:color w:val="000000" w:themeColor="text1"/>
        </w:rPr>
        <w:t xml:space="preserve"> в ноябре ушел в минус. Индекс сейчас </w:t>
      </w:r>
      <w:r w:rsidR="00923C3A" w:rsidRPr="00E05FE6">
        <w:rPr>
          <w:rFonts w:cs="Times New Roman"/>
          <w:color w:val="000000" w:themeColor="text1"/>
        </w:rPr>
        <w:t xml:space="preserve">находится на отметке </w:t>
      </w:r>
      <w:r w:rsidR="00CC405B" w:rsidRPr="00E05FE6">
        <w:rPr>
          <w:rFonts w:cs="Times New Roman"/>
          <w:color w:val="000000" w:themeColor="text1"/>
        </w:rPr>
        <w:t xml:space="preserve">1480 пунктов, что </w:t>
      </w:r>
      <w:r w:rsidR="002161FE" w:rsidRPr="00E05FE6">
        <w:rPr>
          <w:rFonts w:cs="Times New Roman"/>
          <w:color w:val="000000" w:themeColor="text1"/>
        </w:rPr>
        <w:t>на 25%</w:t>
      </w:r>
      <w:r w:rsidR="00CC405B" w:rsidRPr="00E05FE6">
        <w:rPr>
          <w:rFonts w:cs="Times New Roman"/>
          <w:color w:val="000000" w:themeColor="text1"/>
        </w:rPr>
        <w:t xml:space="preserve"> ниже максимумов 2008 года (1952 пункта). Американские и европейские индексы при этом давно превысили докризисные</w:t>
      </w:r>
      <w:r w:rsidR="007D5B6D" w:rsidRPr="00E05FE6">
        <w:rPr>
          <w:rFonts w:cs="Times New Roman"/>
          <w:color w:val="000000" w:themeColor="text1"/>
        </w:rPr>
        <w:t xml:space="preserve"> уровни </w:t>
      </w:r>
      <w:r w:rsidR="00CC405B" w:rsidRPr="00E05FE6">
        <w:rPr>
          <w:rFonts w:cs="Times New Roman"/>
          <w:color w:val="000000" w:themeColor="text1"/>
        </w:rPr>
        <w:t xml:space="preserve">и бьют исторические рекорды. </w:t>
      </w:r>
      <w:r w:rsidR="002161FE" w:rsidRPr="00E05FE6">
        <w:rPr>
          <w:rFonts w:cs="Times New Roman"/>
          <w:color w:val="000000" w:themeColor="text1"/>
        </w:rPr>
        <w:t xml:space="preserve">Для американского рынка </w:t>
      </w:r>
      <w:r w:rsidR="0020482B" w:rsidRPr="00E05FE6">
        <w:rPr>
          <w:rFonts w:cs="Times New Roman"/>
          <w:color w:val="000000" w:themeColor="text1"/>
        </w:rPr>
        <w:t xml:space="preserve">2013 год, скорее всего, станет пятым доходным годом подряд. Индекс ведущих американских компаний </w:t>
      </w:r>
      <w:r w:rsidR="0020482B" w:rsidRPr="00E05FE6">
        <w:rPr>
          <w:rFonts w:cs="Times New Roman"/>
          <w:color w:val="000000" w:themeColor="text1"/>
          <w:lang w:val="en-US"/>
        </w:rPr>
        <w:t>DJIA</w:t>
      </w:r>
      <w:r w:rsidR="0020482B" w:rsidRPr="00E05FE6">
        <w:rPr>
          <w:rFonts w:cs="Times New Roman"/>
          <w:color w:val="000000" w:themeColor="text1"/>
        </w:rPr>
        <w:t xml:space="preserve">, как и немецкий </w:t>
      </w:r>
      <w:r w:rsidR="0020482B" w:rsidRPr="00E05FE6">
        <w:rPr>
          <w:rFonts w:cs="Times New Roman"/>
          <w:color w:val="000000" w:themeColor="text1"/>
          <w:lang w:val="en-US"/>
        </w:rPr>
        <w:t>DAX</w:t>
      </w:r>
      <w:r w:rsidR="002161FE" w:rsidRPr="00E05FE6">
        <w:rPr>
          <w:rFonts w:cs="Times New Roman"/>
          <w:color w:val="000000" w:themeColor="text1"/>
        </w:rPr>
        <w:t>,</w:t>
      </w:r>
      <w:r w:rsidR="0020482B" w:rsidRPr="00E05FE6">
        <w:rPr>
          <w:rFonts w:cs="Times New Roman"/>
          <w:color w:val="000000" w:themeColor="text1"/>
        </w:rPr>
        <w:t xml:space="preserve"> с минимумов марта 2009 года вырос почти на 150% или в 2,5 раза. </w:t>
      </w:r>
      <w:r w:rsidR="00CC405B" w:rsidRPr="00E05FE6">
        <w:rPr>
          <w:rFonts w:cs="Times New Roman"/>
          <w:color w:val="000000" w:themeColor="text1"/>
        </w:rPr>
        <w:t xml:space="preserve">Справедливости ради стоит отметить, что </w:t>
      </w:r>
      <w:r w:rsidR="002161FE" w:rsidRPr="00E05FE6">
        <w:rPr>
          <w:rFonts w:cs="Times New Roman"/>
          <w:color w:val="000000" w:themeColor="text1"/>
        </w:rPr>
        <w:t xml:space="preserve">посткризисная </w:t>
      </w:r>
      <w:r w:rsidR="00CC405B" w:rsidRPr="00E05FE6">
        <w:rPr>
          <w:rFonts w:cs="Times New Roman"/>
          <w:color w:val="000000" w:themeColor="text1"/>
        </w:rPr>
        <w:t xml:space="preserve">динамика индексов развивающихся рынков схожа с динамикой </w:t>
      </w:r>
      <w:r w:rsidR="00CC405B" w:rsidRPr="00E05FE6">
        <w:rPr>
          <w:rFonts w:cs="Times New Roman"/>
          <w:color w:val="000000" w:themeColor="text1"/>
        </w:rPr>
        <w:lastRenderedPageBreak/>
        <w:t>российского</w:t>
      </w:r>
      <w:r w:rsidR="002161FE" w:rsidRPr="00E05FE6">
        <w:rPr>
          <w:rFonts w:cs="Times New Roman"/>
          <w:color w:val="000000" w:themeColor="text1"/>
        </w:rPr>
        <w:t>: и</w:t>
      </w:r>
      <w:r w:rsidR="00CC405B" w:rsidRPr="00E05FE6">
        <w:rPr>
          <w:rFonts w:cs="Times New Roman"/>
          <w:color w:val="000000" w:themeColor="text1"/>
        </w:rPr>
        <w:t xml:space="preserve">ндекс </w:t>
      </w:r>
      <w:r w:rsidR="00CC405B" w:rsidRPr="00E05FE6">
        <w:rPr>
          <w:rFonts w:cs="Times New Roman"/>
          <w:color w:val="000000" w:themeColor="text1"/>
          <w:lang w:val="en-US"/>
        </w:rPr>
        <w:t>MSCI</w:t>
      </w:r>
      <w:r w:rsidR="007D5B6D" w:rsidRPr="00E05FE6">
        <w:rPr>
          <w:rFonts w:cs="Times New Roman"/>
          <w:color w:val="000000" w:themeColor="text1"/>
        </w:rPr>
        <w:t>*</w:t>
      </w:r>
      <w:r w:rsidR="00CC405B" w:rsidRPr="00E05FE6">
        <w:rPr>
          <w:rFonts w:cs="Times New Roman"/>
          <w:color w:val="000000" w:themeColor="text1"/>
        </w:rPr>
        <w:t xml:space="preserve"> </w:t>
      </w:r>
      <w:r w:rsidR="002161FE" w:rsidRPr="00E05FE6">
        <w:rPr>
          <w:rFonts w:cs="Times New Roman"/>
          <w:color w:val="000000" w:themeColor="text1"/>
        </w:rPr>
        <w:t>р</w:t>
      </w:r>
      <w:r w:rsidR="00D71708" w:rsidRPr="00E05FE6">
        <w:rPr>
          <w:rFonts w:cs="Times New Roman"/>
          <w:color w:val="000000" w:themeColor="text1"/>
        </w:rPr>
        <w:t xml:space="preserve">азвивающихся рынков </w:t>
      </w:r>
      <w:r w:rsidR="00CC405B" w:rsidRPr="00E05FE6">
        <w:rPr>
          <w:rFonts w:cs="Times New Roman"/>
          <w:color w:val="000000" w:themeColor="text1"/>
        </w:rPr>
        <w:t>находит</w:t>
      </w:r>
      <w:r w:rsidR="00D71708" w:rsidRPr="00E05FE6">
        <w:rPr>
          <w:rFonts w:cs="Times New Roman"/>
          <w:color w:val="000000" w:themeColor="text1"/>
        </w:rPr>
        <w:t xml:space="preserve">ся ниже максимумов 2008 года на 25%, индекс </w:t>
      </w:r>
      <w:r w:rsidR="00D71708" w:rsidRPr="00E05FE6">
        <w:rPr>
          <w:rFonts w:cs="Times New Roman"/>
          <w:color w:val="000000" w:themeColor="text1"/>
          <w:lang w:val="en-US"/>
        </w:rPr>
        <w:t>MSCI</w:t>
      </w:r>
      <w:r w:rsidR="00D71708" w:rsidRPr="00E05FE6">
        <w:rPr>
          <w:rFonts w:cs="Times New Roman"/>
          <w:color w:val="000000" w:themeColor="text1"/>
        </w:rPr>
        <w:t xml:space="preserve"> </w:t>
      </w:r>
      <w:r w:rsidR="00D71708" w:rsidRPr="00E05FE6">
        <w:rPr>
          <w:rFonts w:cs="Times New Roman"/>
          <w:color w:val="000000" w:themeColor="text1"/>
          <w:lang w:val="en-US"/>
        </w:rPr>
        <w:t>BRIC</w:t>
      </w:r>
      <w:r w:rsidR="00D71708" w:rsidRPr="00E05FE6">
        <w:rPr>
          <w:rFonts w:cs="Times New Roman"/>
          <w:color w:val="000000" w:themeColor="text1"/>
        </w:rPr>
        <w:t xml:space="preserve"> – на 40%. </w:t>
      </w:r>
    </w:p>
    <w:p w:rsidR="007D5B6D" w:rsidRPr="00E05FE6" w:rsidRDefault="007D5B6D" w:rsidP="00493680">
      <w:pPr>
        <w:ind w:firstLine="709"/>
        <w:jc w:val="both"/>
        <w:rPr>
          <w:rFonts w:cs="Times New Roman"/>
          <w:color w:val="000000" w:themeColor="text1"/>
        </w:rPr>
      </w:pPr>
    </w:p>
    <w:p w:rsidR="00D40EA0" w:rsidRPr="00E05FE6" w:rsidRDefault="00D40EA0" w:rsidP="00493680">
      <w:pPr>
        <w:ind w:firstLine="709"/>
        <w:jc w:val="both"/>
        <w:rPr>
          <w:rFonts w:cs="Times New Roman"/>
          <w:i/>
          <w:color w:val="000000" w:themeColor="text1"/>
          <w:shd w:val="clear" w:color="auto" w:fill="FFFFFF"/>
        </w:rPr>
      </w:pPr>
      <w:r w:rsidRPr="00E05FE6">
        <w:rPr>
          <w:rFonts w:cs="Times New Roman"/>
          <w:i/>
          <w:color w:val="000000" w:themeColor="text1"/>
        </w:rPr>
        <w:t>*</w:t>
      </w:r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 xml:space="preserve"> Индексы MSCI – группа индексов, которые рассчитываются аналитической компанией «</w:t>
      </w:r>
      <w:proofErr w:type="spellStart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>Morgan</w:t>
      </w:r>
      <w:proofErr w:type="spellEnd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>Stanley</w:t>
      </w:r>
      <w:proofErr w:type="spellEnd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>Capital</w:t>
      </w:r>
      <w:proofErr w:type="spellEnd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>International</w:t>
      </w:r>
      <w:proofErr w:type="spellEnd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 xml:space="preserve">». </w:t>
      </w:r>
      <w:proofErr w:type="gramStart"/>
      <w:r w:rsidR="007D5B6D" w:rsidRPr="00E05FE6">
        <w:rPr>
          <w:rFonts w:cs="Times New Roman"/>
          <w:i/>
          <w:color w:val="000000" w:themeColor="text1"/>
          <w:shd w:val="clear" w:color="auto" w:fill="FFFFFF"/>
          <w:lang w:val="en-US"/>
        </w:rPr>
        <w:t>MSCI</w:t>
      </w:r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 xml:space="preserve"> рассчитывает глобальный индекс, а также индексы региональные и национальные.</w:t>
      </w:r>
      <w:proofErr w:type="gramEnd"/>
      <w:r w:rsidR="007D5B6D" w:rsidRPr="00E05FE6">
        <w:rPr>
          <w:rFonts w:cs="Times New Roman"/>
          <w:i/>
          <w:color w:val="000000" w:themeColor="text1"/>
          <w:shd w:val="clear" w:color="auto" w:fill="FFFFFF"/>
        </w:rPr>
        <w:t xml:space="preserve"> На индексы семейства MSCI ориентируется большинство мировых инвесторов в акции. Многие инвестиционные фонды формируют свои портфели только в соответствии со структурой данного индекса, а некоторые даже не имеют права вкладывать средства в акции, не включенные в эти индексы. </w:t>
      </w:r>
    </w:p>
    <w:p w:rsidR="0020482B" w:rsidRPr="00E05FE6" w:rsidRDefault="0020482B" w:rsidP="00493680">
      <w:pPr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</w:p>
    <w:p w:rsidR="00493680" w:rsidRPr="00E05FE6" w:rsidRDefault="00FD69D6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>Хотя многие исследования говорят о том, что прямой связи между динамикой рынка и динамикой экономики не существует, нельзя говорить о рынке в отрыве от макроэкономической ситуации, так ка</w:t>
      </w:r>
      <w:r w:rsidR="00493680" w:rsidRPr="00E05FE6">
        <w:rPr>
          <w:rFonts w:cs="Times New Roman"/>
          <w:color w:val="000000" w:themeColor="text1"/>
        </w:rPr>
        <w:t>к они тесно переплетены.</w:t>
      </w:r>
    </w:p>
    <w:p w:rsidR="00493680" w:rsidRPr="00E05FE6" w:rsidRDefault="004112F7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В новый год </w:t>
      </w:r>
      <w:r w:rsidR="00493680" w:rsidRPr="00E05FE6">
        <w:rPr>
          <w:rFonts w:cs="Times New Roman"/>
          <w:color w:val="000000" w:themeColor="text1"/>
        </w:rPr>
        <w:t xml:space="preserve">крупнейшие мировые экономики </w:t>
      </w:r>
      <w:r w:rsidRPr="00E05FE6">
        <w:rPr>
          <w:rFonts w:cs="Times New Roman"/>
          <w:color w:val="000000" w:themeColor="text1"/>
        </w:rPr>
        <w:t xml:space="preserve">входят на подъеме: </w:t>
      </w:r>
      <w:proofErr w:type="spellStart"/>
      <w:r w:rsidRPr="00E05FE6">
        <w:rPr>
          <w:rFonts w:cs="Times New Roman"/>
          <w:color w:val="000000" w:themeColor="text1"/>
        </w:rPr>
        <w:t>центробанки</w:t>
      </w:r>
      <w:proofErr w:type="spellEnd"/>
      <w:r w:rsidRPr="00E05FE6">
        <w:rPr>
          <w:rFonts w:cs="Times New Roman"/>
          <w:color w:val="000000" w:themeColor="text1"/>
        </w:rPr>
        <w:t xml:space="preserve">, которые несколько лет проводили стимулирующую политику, давая деньги под минимальный процент и выкупая облигации с рынка, тем самым обеспечивая избыточную ликвидность, вывели экономики из рецессии </w:t>
      </w:r>
      <w:r w:rsidR="00665C6A" w:rsidRPr="00E05FE6">
        <w:rPr>
          <w:rFonts w:cs="Times New Roman"/>
          <w:color w:val="000000" w:themeColor="text1"/>
        </w:rPr>
        <w:t xml:space="preserve">и </w:t>
      </w:r>
      <w:r w:rsidRPr="00E05FE6">
        <w:rPr>
          <w:rFonts w:cs="Times New Roman"/>
          <w:color w:val="000000" w:themeColor="text1"/>
        </w:rPr>
        <w:t xml:space="preserve">добились положительных цифр экономического роста. </w:t>
      </w:r>
      <w:r w:rsidR="00665C6A" w:rsidRPr="00E05FE6">
        <w:rPr>
          <w:rFonts w:cs="Times New Roman"/>
          <w:color w:val="000000" w:themeColor="text1"/>
        </w:rPr>
        <w:t xml:space="preserve">Хотя по итогам </w:t>
      </w:r>
      <w:r w:rsidR="00493680" w:rsidRPr="00E05FE6">
        <w:rPr>
          <w:rFonts w:cs="Times New Roman"/>
          <w:color w:val="000000" w:themeColor="text1"/>
        </w:rPr>
        <w:t xml:space="preserve">2013 </w:t>
      </w:r>
      <w:r w:rsidR="00665C6A" w:rsidRPr="00E05FE6">
        <w:rPr>
          <w:rFonts w:cs="Times New Roman"/>
          <w:color w:val="000000" w:themeColor="text1"/>
        </w:rPr>
        <w:t xml:space="preserve">года ВВП объединенной части Европы </w:t>
      </w:r>
      <w:r w:rsidR="00493680" w:rsidRPr="00E05FE6">
        <w:rPr>
          <w:rFonts w:cs="Times New Roman"/>
          <w:color w:val="000000" w:themeColor="text1"/>
        </w:rPr>
        <w:t xml:space="preserve">может показать </w:t>
      </w:r>
      <w:r w:rsidR="00665C6A" w:rsidRPr="00E05FE6">
        <w:rPr>
          <w:rFonts w:cs="Times New Roman"/>
          <w:color w:val="000000" w:themeColor="text1"/>
        </w:rPr>
        <w:t xml:space="preserve">отрицательное значение, последние данные говорят о том, что экономика </w:t>
      </w:r>
      <w:r w:rsidR="00D112B4" w:rsidRPr="00E05FE6">
        <w:rPr>
          <w:rFonts w:cs="Times New Roman"/>
          <w:color w:val="000000" w:themeColor="text1"/>
        </w:rPr>
        <w:t>находится</w:t>
      </w:r>
      <w:r w:rsidR="00665C6A" w:rsidRPr="00E05FE6">
        <w:rPr>
          <w:rFonts w:cs="Times New Roman"/>
          <w:color w:val="000000" w:themeColor="text1"/>
        </w:rPr>
        <w:t xml:space="preserve"> на траектори</w:t>
      </w:r>
      <w:r w:rsidR="00D112B4" w:rsidRPr="00E05FE6">
        <w:rPr>
          <w:rFonts w:cs="Times New Roman"/>
          <w:color w:val="000000" w:themeColor="text1"/>
        </w:rPr>
        <w:t>и</w:t>
      </w:r>
      <w:r w:rsidR="00665C6A" w:rsidRPr="00E05FE6">
        <w:rPr>
          <w:rFonts w:cs="Times New Roman"/>
          <w:color w:val="000000" w:themeColor="text1"/>
        </w:rPr>
        <w:t xml:space="preserve"> роста и в следующем году </w:t>
      </w:r>
      <w:r w:rsidR="00493680" w:rsidRPr="00E05FE6">
        <w:rPr>
          <w:rFonts w:cs="Times New Roman"/>
          <w:color w:val="000000" w:themeColor="text1"/>
        </w:rPr>
        <w:t xml:space="preserve">может показать </w:t>
      </w:r>
      <w:r w:rsidR="00665C6A" w:rsidRPr="00E05FE6">
        <w:rPr>
          <w:rFonts w:cs="Times New Roman"/>
          <w:color w:val="000000" w:themeColor="text1"/>
        </w:rPr>
        <w:t xml:space="preserve">прибавление. </w:t>
      </w:r>
    </w:p>
    <w:p w:rsidR="00226733" w:rsidRPr="00E05FE6" w:rsidRDefault="001C0622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Если развитые страны радуются официальной экономической статистике, то Росстат свидетельствует о замедлении темпов роста </w:t>
      </w:r>
      <w:r w:rsidR="00F447F8" w:rsidRPr="00E05FE6">
        <w:rPr>
          <w:rFonts w:cs="Times New Roman"/>
          <w:color w:val="000000" w:themeColor="text1"/>
        </w:rPr>
        <w:t xml:space="preserve">ВВП </w:t>
      </w:r>
      <w:r w:rsidRPr="00E05FE6">
        <w:rPr>
          <w:rFonts w:cs="Times New Roman"/>
          <w:color w:val="000000" w:themeColor="text1"/>
        </w:rPr>
        <w:t>в России, а промышленность вообще не развивается и рискует уйти в минус. Кроме того, из России высокими темпами стал уходить иностранный капитал. В 2012 году было выведено $30 млрд</w:t>
      </w:r>
      <w:r w:rsidR="004050F2" w:rsidRPr="00E05FE6">
        <w:rPr>
          <w:rFonts w:cs="Times New Roman"/>
          <w:color w:val="000000" w:themeColor="text1"/>
        </w:rPr>
        <w:t>.</w:t>
      </w:r>
      <w:r w:rsidR="00D112B4" w:rsidRPr="00E05FE6">
        <w:rPr>
          <w:rFonts w:cs="Times New Roman"/>
          <w:color w:val="000000" w:themeColor="text1"/>
        </w:rPr>
        <w:t>,</w:t>
      </w:r>
      <w:r w:rsidRPr="00E05FE6">
        <w:rPr>
          <w:rFonts w:cs="Times New Roman"/>
          <w:color w:val="000000" w:themeColor="text1"/>
        </w:rPr>
        <w:t xml:space="preserve"> в 2013 - $75 млрд., в 2014 году темпы оттока, вероятно, снизятся, но иностранных денег в экономике станет меньше на $30 млрд. И это по оптимистичным</w:t>
      </w:r>
      <w:r w:rsidR="00F447F8" w:rsidRPr="00E05FE6">
        <w:rPr>
          <w:rFonts w:cs="Times New Roman"/>
          <w:color w:val="000000" w:themeColor="text1"/>
        </w:rPr>
        <w:t xml:space="preserve"> ожиданиям</w:t>
      </w:r>
      <w:r w:rsidRPr="00E05FE6">
        <w:rPr>
          <w:rFonts w:cs="Times New Roman"/>
          <w:color w:val="000000" w:themeColor="text1"/>
        </w:rPr>
        <w:t>.</w:t>
      </w:r>
      <w:r w:rsidR="002F2D4F" w:rsidRPr="00E05FE6">
        <w:rPr>
          <w:rFonts w:cs="Times New Roman"/>
          <w:color w:val="000000" w:themeColor="text1"/>
        </w:rPr>
        <w:t xml:space="preserve"> А о</w:t>
      </w:r>
      <w:r w:rsidR="004050F2" w:rsidRPr="00E05FE6">
        <w:rPr>
          <w:rFonts w:cs="Times New Roman"/>
          <w:color w:val="000000" w:themeColor="text1"/>
        </w:rPr>
        <w:t xml:space="preserve">птимизм теряют даже традиционно вдохновляющие государственные прогнозы. Минэкономразвития </w:t>
      </w:r>
      <w:r w:rsidR="00D112B4" w:rsidRPr="00E05FE6">
        <w:rPr>
          <w:rFonts w:cs="Times New Roman"/>
          <w:color w:val="000000" w:themeColor="text1"/>
        </w:rPr>
        <w:t xml:space="preserve">РФ </w:t>
      </w:r>
      <w:r w:rsidR="004050F2" w:rsidRPr="00E05FE6">
        <w:rPr>
          <w:rFonts w:cs="Times New Roman"/>
          <w:color w:val="000000" w:themeColor="text1"/>
        </w:rPr>
        <w:t>в декабре в очередной раз снизило ожидания на этот год и на последующие два</w:t>
      </w:r>
      <w:r w:rsidR="00226733" w:rsidRPr="00E05FE6">
        <w:rPr>
          <w:rFonts w:cs="Times New Roman"/>
          <w:color w:val="000000" w:themeColor="text1"/>
        </w:rPr>
        <w:t>: н</w:t>
      </w:r>
      <w:r w:rsidR="004050F2" w:rsidRPr="00E05FE6">
        <w:rPr>
          <w:rFonts w:cs="Times New Roman"/>
          <w:color w:val="000000" w:themeColor="text1"/>
        </w:rPr>
        <w:t xml:space="preserve">иже рост, выше инфляция и дешевле курс рубля. </w:t>
      </w:r>
    </w:p>
    <w:p w:rsidR="002A0BB9" w:rsidRPr="00E05FE6" w:rsidRDefault="00B008DF" w:rsidP="002A0BB9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В этом году сменилось руководство российского ЦБ, который </w:t>
      </w:r>
      <w:r w:rsidR="00226733" w:rsidRPr="00E05FE6">
        <w:rPr>
          <w:rFonts w:cs="Times New Roman"/>
          <w:color w:val="000000" w:themeColor="text1"/>
        </w:rPr>
        <w:t xml:space="preserve">проводит политику </w:t>
      </w:r>
      <w:proofErr w:type="spellStart"/>
      <w:r w:rsidR="00226733" w:rsidRPr="00E05FE6">
        <w:rPr>
          <w:rFonts w:cs="Times New Roman"/>
          <w:color w:val="000000" w:themeColor="text1"/>
        </w:rPr>
        <w:t>транспарентности</w:t>
      </w:r>
      <w:proofErr w:type="spellEnd"/>
      <w:r w:rsidR="00226733" w:rsidRPr="00E05FE6">
        <w:rPr>
          <w:rFonts w:cs="Times New Roman"/>
          <w:color w:val="000000" w:themeColor="text1"/>
        </w:rPr>
        <w:t xml:space="preserve"> банковской системы</w:t>
      </w:r>
      <w:r w:rsidR="00226733" w:rsidRPr="00E05FE6">
        <w:rPr>
          <w:color w:val="000000" w:themeColor="text1"/>
        </w:rPr>
        <w:t xml:space="preserve">. Российский банковский сектор, который вскоре должен перейти на новые нормы резервирования по Базелю </w:t>
      </w:r>
      <w:r w:rsidR="00226733" w:rsidRPr="00E05FE6">
        <w:rPr>
          <w:color w:val="000000" w:themeColor="text1"/>
          <w:lang w:val="en-US"/>
        </w:rPr>
        <w:t>III</w:t>
      </w:r>
      <w:r w:rsidR="00226733" w:rsidRPr="00E05FE6">
        <w:rPr>
          <w:color w:val="000000" w:themeColor="text1"/>
        </w:rPr>
        <w:t>, что будет и</w:t>
      </w:r>
      <w:r w:rsidR="00D112B4" w:rsidRPr="00E05FE6">
        <w:rPr>
          <w:color w:val="000000" w:themeColor="text1"/>
        </w:rPr>
        <w:t xml:space="preserve"> </w:t>
      </w:r>
      <w:r w:rsidR="00226733" w:rsidRPr="00E05FE6">
        <w:rPr>
          <w:color w:val="000000" w:themeColor="text1"/>
        </w:rPr>
        <w:t xml:space="preserve">так непросто для небольших банков, в ноябре получил нокаут в виде банкротства «Мастер-Банка». </w:t>
      </w:r>
      <w:r w:rsidR="002A0BB9" w:rsidRPr="00E05FE6">
        <w:rPr>
          <w:rFonts w:cs="Times New Roman"/>
          <w:color w:val="000000" w:themeColor="text1"/>
        </w:rPr>
        <w:t>Реформирование банковской сферы сейчас</w:t>
      </w:r>
      <w:r w:rsidR="00CB783B" w:rsidRPr="00E05FE6">
        <w:rPr>
          <w:rFonts w:cs="Times New Roman"/>
          <w:color w:val="000000" w:themeColor="text1"/>
        </w:rPr>
        <w:t>,</w:t>
      </w:r>
      <w:r w:rsidR="002A0BB9" w:rsidRPr="00E05FE6">
        <w:rPr>
          <w:rFonts w:cs="Times New Roman"/>
          <w:color w:val="000000" w:themeColor="text1"/>
        </w:rPr>
        <w:t xml:space="preserve"> в конце </w:t>
      </w:r>
      <w:r w:rsidR="00CB783B" w:rsidRPr="00E05FE6">
        <w:rPr>
          <w:rFonts w:cs="Times New Roman"/>
          <w:color w:val="000000" w:themeColor="text1"/>
        </w:rPr>
        <w:t xml:space="preserve">2013 года, </w:t>
      </w:r>
      <w:r w:rsidR="002A0BB9" w:rsidRPr="00E05FE6">
        <w:rPr>
          <w:rFonts w:cs="Times New Roman"/>
          <w:color w:val="000000" w:themeColor="text1"/>
        </w:rPr>
        <w:t xml:space="preserve">выливается в полноценный банковский кризис, когда недоверие между участниками платежной системы заставляет банки сокращать кредитование, ставки на </w:t>
      </w:r>
      <w:proofErr w:type="spellStart"/>
      <w:r w:rsidR="002A0BB9" w:rsidRPr="00E05FE6">
        <w:rPr>
          <w:rFonts w:cs="Times New Roman"/>
          <w:color w:val="000000" w:themeColor="text1"/>
        </w:rPr>
        <w:t>межбанке</w:t>
      </w:r>
      <w:proofErr w:type="spellEnd"/>
      <w:r w:rsidR="002A0BB9" w:rsidRPr="00E05FE6">
        <w:rPr>
          <w:rFonts w:cs="Times New Roman"/>
          <w:color w:val="000000" w:themeColor="text1"/>
        </w:rPr>
        <w:t xml:space="preserve"> растут, и реальный сектор, который и в этом году с трудом получал деньги, может остаться совсем без финансирования. </w:t>
      </w:r>
      <w:r w:rsidR="00CB783B" w:rsidRPr="00E05FE6">
        <w:rPr>
          <w:rFonts w:cs="Times New Roman"/>
          <w:color w:val="000000" w:themeColor="text1"/>
        </w:rPr>
        <w:t xml:space="preserve">И эту проблему оставить в </w:t>
      </w:r>
      <w:r w:rsidR="00D112B4" w:rsidRPr="00E05FE6">
        <w:rPr>
          <w:rFonts w:cs="Times New Roman"/>
          <w:color w:val="000000" w:themeColor="text1"/>
        </w:rPr>
        <w:t>уходящем</w:t>
      </w:r>
      <w:r w:rsidR="00CB783B" w:rsidRPr="00E05FE6">
        <w:rPr>
          <w:rFonts w:cs="Times New Roman"/>
          <w:color w:val="000000" w:themeColor="text1"/>
        </w:rPr>
        <w:t xml:space="preserve"> году не получится, решать ее придется в 2014</w:t>
      </w:r>
      <w:r w:rsidR="00D112B4" w:rsidRPr="00E05FE6">
        <w:rPr>
          <w:rFonts w:cs="Times New Roman"/>
          <w:color w:val="000000" w:themeColor="text1"/>
        </w:rPr>
        <w:t>м</w:t>
      </w:r>
      <w:r w:rsidR="00CB783B" w:rsidRPr="00E05FE6">
        <w:rPr>
          <w:rFonts w:cs="Times New Roman"/>
          <w:color w:val="000000" w:themeColor="text1"/>
        </w:rPr>
        <w:t xml:space="preserve">. </w:t>
      </w:r>
      <w:r w:rsidR="002A0BB9" w:rsidRPr="00E05FE6">
        <w:rPr>
          <w:rFonts w:cs="Times New Roman"/>
          <w:color w:val="000000" w:themeColor="text1"/>
        </w:rPr>
        <w:t xml:space="preserve">Опять же, справедливости ради, стоит отметить, что схожие проблемы – сокращение инвестиций, рост инфляции и ослабленные финансовые институты - будут испытывать  многие развивающиеся экономики в будущем году.  </w:t>
      </w:r>
    </w:p>
    <w:p w:rsidR="002A0BB9" w:rsidRPr="00E05FE6" w:rsidRDefault="002A0BB9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Демографический провал, который сократит численность работоспособного населения в стране в следующем году на 4 </w:t>
      </w:r>
      <w:r w:rsidR="00D112B4" w:rsidRPr="00E05FE6">
        <w:rPr>
          <w:rFonts w:cs="Times New Roman"/>
          <w:color w:val="000000" w:themeColor="text1"/>
        </w:rPr>
        <w:t>миллиона</w:t>
      </w:r>
      <w:r w:rsidRPr="00E05FE6">
        <w:rPr>
          <w:rFonts w:cs="Times New Roman"/>
          <w:color w:val="000000" w:themeColor="text1"/>
        </w:rPr>
        <w:t xml:space="preserve"> человек, позволит показать стабильный уровень безработицы в России, хотя реально отдельные сектора начнут испытывать нехватку сотрудников. </w:t>
      </w:r>
      <w:r w:rsidR="002F2D4F" w:rsidRPr="00E05FE6">
        <w:rPr>
          <w:rFonts w:cs="Times New Roman"/>
          <w:color w:val="000000" w:themeColor="text1"/>
        </w:rPr>
        <w:t xml:space="preserve">Демографическая проблема стала одним из доводов </w:t>
      </w:r>
      <w:r w:rsidR="006E2C23" w:rsidRPr="00E05FE6">
        <w:rPr>
          <w:rFonts w:cs="Times New Roman"/>
          <w:color w:val="000000" w:themeColor="text1"/>
        </w:rPr>
        <w:t xml:space="preserve">за проведение </w:t>
      </w:r>
      <w:r w:rsidR="002F2D4F" w:rsidRPr="00E05FE6">
        <w:rPr>
          <w:rFonts w:cs="Times New Roman"/>
          <w:color w:val="000000" w:themeColor="text1"/>
        </w:rPr>
        <w:t>новой пенсионной реформы</w:t>
      </w:r>
      <w:r w:rsidR="00D112B4" w:rsidRPr="00E05FE6">
        <w:rPr>
          <w:rFonts w:cs="Times New Roman"/>
          <w:color w:val="000000" w:themeColor="text1"/>
        </w:rPr>
        <w:t>, очередной за непродолжительное время</w:t>
      </w:r>
      <w:r w:rsidR="00C0083B" w:rsidRPr="00E05FE6">
        <w:rPr>
          <w:rFonts w:cs="Times New Roman"/>
          <w:color w:val="000000" w:themeColor="text1"/>
        </w:rPr>
        <w:t>, стратегия которой до сих пор никому не понятна</w:t>
      </w:r>
      <w:r w:rsidR="00EA4A5B" w:rsidRPr="00E05FE6">
        <w:rPr>
          <w:rFonts w:cs="Times New Roman"/>
          <w:color w:val="000000" w:themeColor="text1"/>
        </w:rPr>
        <w:t>,</w:t>
      </w:r>
      <w:r w:rsidR="00C0083B" w:rsidRPr="00E05FE6">
        <w:rPr>
          <w:rFonts w:cs="Times New Roman"/>
          <w:color w:val="000000" w:themeColor="text1"/>
        </w:rPr>
        <w:t xml:space="preserve"> и которая л</w:t>
      </w:r>
      <w:r w:rsidR="00D112B4" w:rsidRPr="00E05FE6">
        <w:rPr>
          <w:rFonts w:cs="Times New Roman"/>
          <w:color w:val="000000" w:themeColor="text1"/>
        </w:rPr>
        <w:t>ишит российский</w:t>
      </w:r>
      <w:r w:rsidR="00C0083B" w:rsidRPr="00E05FE6">
        <w:rPr>
          <w:rFonts w:cs="Times New Roman"/>
          <w:color w:val="000000" w:themeColor="text1"/>
        </w:rPr>
        <w:t xml:space="preserve"> фондов</w:t>
      </w:r>
      <w:r w:rsidR="00D112B4" w:rsidRPr="00E05FE6">
        <w:rPr>
          <w:rFonts w:cs="Times New Roman"/>
          <w:color w:val="000000" w:themeColor="text1"/>
        </w:rPr>
        <w:t>ый рынок</w:t>
      </w:r>
      <w:r w:rsidR="00C0083B" w:rsidRPr="00E05FE6">
        <w:rPr>
          <w:rFonts w:cs="Times New Roman"/>
          <w:color w:val="000000" w:themeColor="text1"/>
        </w:rPr>
        <w:t xml:space="preserve"> 8 млрд. долл</w:t>
      </w:r>
      <w:r w:rsidR="00517305" w:rsidRPr="00E05FE6">
        <w:rPr>
          <w:rFonts w:cs="Times New Roman"/>
          <w:color w:val="000000" w:themeColor="text1"/>
        </w:rPr>
        <w:t>аров</w:t>
      </w:r>
      <w:r w:rsidR="00C76A61" w:rsidRPr="00E05FE6">
        <w:rPr>
          <w:rFonts w:cs="Times New Roman"/>
          <w:color w:val="000000" w:themeColor="text1"/>
        </w:rPr>
        <w:t xml:space="preserve">. </w:t>
      </w:r>
      <w:r w:rsidR="00517305" w:rsidRPr="00E05FE6">
        <w:rPr>
          <w:rFonts w:cs="Times New Roman"/>
          <w:color w:val="000000" w:themeColor="text1"/>
        </w:rPr>
        <w:t>К</w:t>
      </w:r>
      <w:r w:rsidR="00C76A61" w:rsidRPr="00E05FE6">
        <w:rPr>
          <w:rFonts w:cs="Times New Roman"/>
          <w:color w:val="000000" w:themeColor="text1"/>
        </w:rPr>
        <w:t>роме иностранных денег, российская экономика и рынок лиш</w:t>
      </w:r>
      <w:r w:rsidR="00F204D0" w:rsidRPr="00E05FE6">
        <w:rPr>
          <w:rFonts w:cs="Times New Roman"/>
          <w:color w:val="000000" w:themeColor="text1"/>
        </w:rPr>
        <w:t>а</w:t>
      </w:r>
      <w:r w:rsidR="00C76A61" w:rsidRPr="00E05FE6">
        <w:rPr>
          <w:rFonts w:cs="Times New Roman"/>
          <w:color w:val="000000" w:themeColor="text1"/>
        </w:rPr>
        <w:t>тся и внутренн</w:t>
      </w:r>
      <w:r w:rsidR="00F43ACB" w:rsidRPr="00E05FE6">
        <w:rPr>
          <w:rFonts w:cs="Times New Roman"/>
          <w:color w:val="000000" w:themeColor="text1"/>
        </w:rPr>
        <w:t xml:space="preserve">их источников роста. </w:t>
      </w:r>
      <w:r w:rsidR="00C76A61" w:rsidRPr="00E05FE6">
        <w:rPr>
          <w:rFonts w:cs="Times New Roman"/>
          <w:color w:val="000000" w:themeColor="text1"/>
        </w:rPr>
        <w:t xml:space="preserve"> </w:t>
      </w:r>
    </w:p>
    <w:p w:rsidR="00140A2F" w:rsidRPr="00E05FE6" w:rsidRDefault="00517305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>В 2014 году мы будем наблюдать:</w:t>
      </w:r>
    </w:p>
    <w:p w:rsidR="00F447F8" w:rsidRPr="00E05FE6" w:rsidRDefault="00F447F8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lastRenderedPageBreak/>
        <w:t xml:space="preserve">- </w:t>
      </w:r>
      <w:r w:rsidR="00517305" w:rsidRPr="00E05FE6">
        <w:rPr>
          <w:rFonts w:cs="Times New Roman"/>
          <w:color w:val="000000" w:themeColor="text1"/>
        </w:rPr>
        <w:t>р</w:t>
      </w:r>
      <w:r w:rsidRPr="00E05FE6">
        <w:rPr>
          <w:rFonts w:cs="Times New Roman"/>
          <w:color w:val="000000" w:themeColor="text1"/>
        </w:rPr>
        <w:t>азвитые экономики покажут положительные темпы роста, но недостаточно высокие, чтобы вдохновить фондовые площадки на рост</w:t>
      </w:r>
      <w:r w:rsidR="00517305" w:rsidRPr="00E05FE6">
        <w:rPr>
          <w:rFonts w:cs="Times New Roman"/>
          <w:color w:val="000000" w:themeColor="text1"/>
        </w:rPr>
        <w:t>;</w:t>
      </w:r>
      <w:r w:rsidRPr="00E05FE6">
        <w:rPr>
          <w:rFonts w:cs="Times New Roman"/>
          <w:color w:val="000000" w:themeColor="text1"/>
        </w:rPr>
        <w:t xml:space="preserve"> </w:t>
      </w:r>
    </w:p>
    <w:p w:rsidR="00F447F8" w:rsidRPr="00E05FE6" w:rsidRDefault="00F447F8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- </w:t>
      </w:r>
      <w:r w:rsidR="00517305" w:rsidRPr="00E05FE6">
        <w:rPr>
          <w:rFonts w:cs="Times New Roman"/>
          <w:color w:val="000000" w:themeColor="text1"/>
        </w:rPr>
        <w:t>э</w:t>
      </w:r>
      <w:r w:rsidRPr="00E05FE6">
        <w:rPr>
          <w:rFonts w:cs="Times New Roman"/>
          <w:color w:val="000000" w:themeColor="text1"/>
        </w:rPr>
        <w:t>кономика России проведет год в стагнации</w:t>
      </w:r>
      <w:r w:rsidR="00517305" w:rsidRPr="00E05FE6">
        <w:rPr>
          <w:rFonts w:cs="Times New Roman"/>
          <w:color w:val="000000" w:themeColor="text1"/>
        </w:rPr>
        <w:t>;</w:t>
      </w:r>
    </w:p>
    <w:p w:rsidR="00236B00" w:rsidRPr="00E05FE6" w:rsidRDefault="00236B00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- </w:t>
      </w:r>
      <w:r w:rsidR="00517305" w:rsidRPr="00E05FE6">
        <w:rPr>
          <w:rFonts w:cs="Times New Roman"/>
          <w:color w:val="000000" w:themeColor="text1"/>
        </w:rPr>
        <w:t>г</w:t>
      </w:r>
      <w:r w:rsidRPr="00E05FE6">
        <w:rPr>
          <w:rFonts w:cs="Times New Roman"/>
          <w:color w:val="000000" w:themeColor="text1"/>
        </w:rPr>
        <w:t>осрасходы будут сокращены</w:t>
      </w:r>
      <w:r w:rsidR="00517305" w:rsidRPr="00E05FE6">
        <w:rPr>
          <w:rFonts w:cs="Times New Roman"/>
          <w:color w:val="000000" w:themeColor="text1"/>
        </w:rPr>
        <w:t>;</w:t>
      </w:r>
      <w:r w:rsidRPr="00E05FE6">
        <w:rPr>
          <w:rFonts w:cs="Times New Roman"/>
          <w:color w:val="000000" w:themeColor="text1"/>
        </w:rPr>
        <w:t xml:space="preserve"> </w:t>
      </w:r>
    </w:p>
    <w:p w:rsidR="00F447F8" w:rsidRPr="00E05FE6" w:rsidRDefault="00F447F8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- </w:t>
      </w:r>
      <w:r w:rsidR="00517305" w:rsidRPr="00E05FE6">
        <w:rPr>
          <w:rFonts w:cs="Times New Roman"/>
          <w:color w:val="000000" w:themeColor="text1"/>
        </w:rPr>
        <w:t>о</w:t>
      </w:r>
      <w:r w:rsidRPr="00E05FE6">
        <w:rPr>
          <w:rFonts w:cs="Times New Roman"/>
          <w:color w:val="000000" w:themeColor="text1"/>
        </w:rPr>
        <w:t xml:space="preserve">тток капитала из России продолжится, хотя </w:t>
      </w:r>
      <w:r w:rsidR="00517305" w:rsidRPr="00E05FE6">
        <w:rPr>
          <w:rFonts w:cs="Times New Roman"/>
          <w:color w:val="000000" w:themeColor="text1"/>
        </w:rPr>
        <w:t>темпы</w:t>
      </w:r>
      <w:r w:rsidRPr="00E05FE6">
        <w:rPr>
          <w:rFonts w:cs="Times New Roman"/>
          <w:color w:val="000000" w:themeColor="text1"/>
        </w:rPr>
        <w:t xml:space="preserve"> замедлятся</w:t>
      </w:r>
      <w:r w:rsidR="00517305" w:rsidRPr="00E05FE6">
        <w:rPr>
          <w:rFonts w:cs="Times New Roman"/>
          <w:color w:val="000000" w:themeColor="text1"/>
        </w:rPr>
        <w:t>;</w:t>
      </w:r>
    </w:p>
    <w:p w:rsidR="00F447F8" w:rsidRPr="00E05FE6" w:rsidRDefault="00F447F8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- </w:t>
      </w:r>
      <w:r w:rsidR="00517305" w:rsidRPr="00E05FE6">
        <w:rPr>
          <w:rFonts w:cs="Times New Roman"/>
          <w:color w:val="000000" w:themeColor="text1"/>
        </w:rPr>
        <w:t>м</w:t>
      </w:r>
      <w:r w:rsidRPr="00E05FE6">
        <w:rPr>
          <w:rFonts w:cs="Times New Roman"/>
          <w:color w:val="000000" w:themeColor="text1"/>
        </w:rPr>
        <w:t xml:space="preserve">ировые </w:t>
      </w:r>
      <w:proofErr w:type="spellStart"/>
      <w:r w:rsidRPr="00E05FE6">
        <w:rPr>
          <w:rFonts w:cs="Times New Roman"/>
          <w:color w:val="000000" w:themeColor="text1"/>
        </w:rPr>
        <w:t>центробанки</w:t>
      </w:r>
      <w:proofErr w:type="spellEnd"/>
      <w:r w:rsidRPr="00E05FE6">
        <w:rPr>
          <w:rFonts w:cs="Times New Roman"/>
          <w:color w:val="000000" w:themeColor="text1"/>
        </w:rPr>
        <w:t xml:space="preserve"> </w:t>
      </w:r>
      <w:r w:rsidR="00517305" w:rsidRPr="00E05FE6">
        <w:rPr>
          <w:rFonts w:cs="Times New Roman"/>
          <w:color w:val="000000" w:themeColor="text1"/>
        </w:rPr>
        <w:t>сократят стимулы</w:t>
      </w:r>
      <w:r w:rsidRPr="00E05FE6">
        <w:rPr>
          <w:rFonts w:cs="Times New Roman"/>
          <w:color w:val="000000" w:themeColor="text1"/>
        </w:rPr>
        <w:t>, хотя в целом монетарная политика будет мягкой и поддерживающей</w:t>
      </w:r>
      <w:r w:rsidR="00517305" w:rsidRPr="00E05FE6">
        <w:rPr>
          <w:rFonts w:cs="Times New Roman"/>
          <w:color w:val="000000" w:themeColor="text1"/>
        </w:rPr>
        <w:t>;</w:t>
      </w:r>
      <w:r w:rsidRPr="00E05FE6">
        <w:rPr>
          <w:rFonts w:cs="Times New Roman"/>
          <w:color w:val="000000" w:themeColor="text1"/>
        </w:rPr>
        <w:t xml:space="preserve"> </w:t>
      </w:r>
    </w:p>
    <w:p w:rsidR="00B008DF" w:rsidRPr="00E05FE6" w:rsidRDefault="00B008DF" w:rsidP="0049368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- </w:t>
      </w:r>
      <w:r w:rsidR="00517305" w:rsidRPr="00E05FE6">
        <w:rPr>
          <w:rFonts w:cs="Times New Roman"/>
          <w:color w:val="000000" w:themeColor="text1"/>
        </w:rPr>
        <w:t>р</w:t>
      </w:r>
      <w:r w:rsidRPr="00E05FE6">
        <w:rPr>
          <w:rFonts w:cs="Times New Roman"/>
          <w:color w:val="000000" w:themeColor="text1"/>
        </w:rPr>
        <w:t xml:space="preserve">оссийский </w:t>
      </w:r>
      <w:proofErr w:type="spellStart"/>
      <w:r w:rsidRPr="00E05FE6">
        <w:rPr>
          <w:rFonts w:cs="Times New Roman"/>
          <w:color w:val="000000" w:themeColor="text1"/>
        </w:rPr>
        <w:t>центробанк</w:t>
      </w:r>
      <w:proofErr w:type="spellEnd"/>
      <w:r w:rsidRPr="00E05FE6">
        <w:rPr>
          <w:rFonts w:cs="Times New Roman"/>
          <w:color w:val="000000" w:themeColor="text1"/>
        </w:rPr>
        <w:t xml:space="preserve"> </w:t>
      </w:r>
      <w:r w:rsidR="00517305" w:rsidRPr="00E05FE6">
        <w:rPr>
          <w:rFonts w:cs="Times New Roman"/>
          <w:color w:val="000000" w:themeColor="text1"/>
        </w:rPr>
        <w:t>пойдет</w:t>
      </w:r>
      <w:r w:rsidRPr="00E05FE6">
        <w:rPr>
          <w:rFonts w:cs="Times New Roman"/>
          <w:color w:val="000000" w:themeColor="text1"/>
        </w:rPr>
        <w:t xml:space="preserve"> на сокращение ставок, </w:t>
      </w:r>
      <w:r w:rsidR="00FA68BD" w:rsidRPr="00E05FE6">
        <w:rPr>
          <w:rFonts w:cs="Times New Roman"/>
          <w:color w:val="000000" w:themeColor="text1"/>
        </w:rPr>
        <w:t xml:space="preserve">стимулируя банковскую активность, </w:t>
      </w:r>
      <w:r w:rsidRPr="00E05FE6">
        <w:rPr>
          <w:rFonts w:cs="Times New Roman"/>
          <w:color w:val="000000" w:themeColor="text1"/>
        </w:rPr>
        <w:t xml:space="preserve">рискуя </w:t>
      </w:r>
      <w:bookmarkStart w:id="0" w:name="_GoBack"/>
      <w:bookmarkEnd w:id="0"/>
      <w:r w:rsidRPr="00E05FE6">
        <w:rPr>
          <w:rFonts w:cs="Times New Roman"/>
          <w:color w:val="000000" w:themeColor="text1"/>
        </w:rPr>
        <w:t>ростом инфляции</w:t>
      </w:r>
      <w:r w:rsidR="00517305" w:rsidRPr="00E05FE6">
        <w:rPr>
          <w:rFonts w:cs="Times New Roman"/>
          <w:color w:val="000000" w:themeColor="text1"/>
        </w:rPr>
        <w:t>;</w:t>
      </w:r>
      <w:r w:rsidRPr="00E05FE6">
        <w:rPr>
          <w:rFonts w:cs="Times New Roman"/>
          <w:color w:val="000000" w:themeColor="text1"/>
        </w:rPr>
        <w:t xml:space="preserve"> </w:t>
      </w:r>
    </w:p>
    <w:p w:rsidR="00236B00" w:rsidRPr="00E05FE6" w:rsidRDefault="00FA68BD" w:rsidP="00236B00">
      <w:pPr>
        <w:ind w:firstLine="709"/>
        <w:jc w:val="both"/>
        <w:rPr>
          <w:rFonts w:cs="Times New Roman"/>
          <w:color w:val="000000" w:themeColor="text1"/>
        </w:rPr>
      </w:pPr>
      <w:r w:rsidRPr="00E05FE6">
        <w:rPr>
          <w:rFonts w:cs="Times New Roman"/>
          <w:color w:val="000000" w:themeColor="text1"/>
        </w:rPr>
        <w:t xml:space="preserve">- </w:t>
      </w:r>
      <w:r w:rsidR="00517305" w:rsidRPr="00E05FE6">
        <w:rPr>
          <w:rFonts w:cs="Times New Roman"/>
          <w:color w:val="000000" w:themeColor="text1"/>
        </w:rPr>
        <w:t>с</w:t>
      </w:r>
      <w:r w:rsidRPr="00E05FE6">
        <w:rPr>
          <w:rFonts w:cs="Times New Roman"/>
          <w:color w:val="000000" w:themeColor="text1"/>
        </w:rPr>
        <w:t xml:space="preserve">прос из Китая несколько сократится, хотя темпы роста ВВП Поднебесной останутся достаточно высокими – около 7%. </w:t>
      </w:r>
    </w:p>
    <w:p w:rsidR="00236B00" w:rsidRPr="00E05FE6" w:rsidRDefault="00517305" w:rsidP="00236B00">
      <w:pPr>
        <w:ind w:firstLine="709"/>
        <w:jc w:val="both"/>
        <w:rPr>
          <w:color w:val="000000" w:themeColor="text1"/>
        </w:rPr>
      </w:pPr>
      <w:r w:rsidRPr="00E05FE6">
        <w:rPr>
          <w:rFonts w:cs="Times New Roman"/>
          <w:color w:val="000000" w:themeColor="text1"/>
        </w:rPr>
        <w:t>Более</w:t>
      </w:r>
      <w:r w:rsidR="00CB783B" w:rsidRPr="00E05FE6">
        <w:rPr>
          <w:rFonts w:cs="Times New Roman"/>
          <w:color w:val="000000" w:themeColor="text1"/>
        </w:rPr>
        <w:t xml:space="preserve"> тяжелой станет вторая половина года, когда стимулирующие программы ФРС будут сворачиваться. </w:t>
      </w:r>
      <w:r w:rsidR="00F43ACB" w:rsidRPr="00E05FE6">
        <w:rPr>
          <w:rFonts w:cs="Times New Roman"/>
          <w:color w:val="000000" w:themeColor="text1"/>
        </w:rPr>
        <w:t xml:space="preserve">Крупные фонды, такие как пенсионные, предпочтут инвестировать средства в инструменты с фиксированной доходностью, вместо того, чтобы получить схожий доход от акций, принимая на себя высокие риски. Хотя российские акции сейчас сильно недооценены, денег, которые могут быть размещены в бумаги </w:t>
      </w:r>
      <w:r w:rsidR="00236B00" w:rsidRPr="00E05FE6">
        <w:rPr>
          <w:color w:val="000000" w:themeColor="text1"/>
        </w:rPr>
        <w:t xml:space="preserve"> </w:t>
      </w:r>
      <w:r w:rsidR="00F43ACB" w:rsidRPr="00E05FE6">
        <w:rPr>
          <w:color w:val="000000" w:themeColor="text1"/>
        </w:rPr>
        <w:t xml:space="preserve">и </w:t>
      </w:r>
      <w:r w:rsidRPr="00E05FE6">
        <w:rPr>
          <w:color w:val="000000" w:themeColor="text1"/>
        </w:rPr>
        <w:t>обеспечат уверенный рост рынка, пока нет</w:t>
      </w:r>
      <w:r w:rsidR="00F43ACB" w:rsidRPr="00E05FE6">
        <w:rPr>
          <w:color w:val="000000" w:themeColor="text1"/>
        </w:rPr>
        <w:t xml:space="preserve">. </w:t>
      </w:r>
    </w:p>
    <w:p w:rsidR="00FA68BD" w:rsidRPr="00E05FE6" w:rsidRDefault="00FA68BD" w:rsidP="00493680">
      <w:pPr>
        <w:ind w:firstLine="709"/>
        <w:jc w:val="both"/>
        <w:rPr>
          <w:rFonts w:cs="Times New Roman"/>
          <w:color w:val="000000" w:themeColor="text1"/>
        </w:rPr>
      </w:pPr>
    </w:p>
    <w:sectPr w:rsidR="00FA68BD" w:rsidRPr="00E0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DD5"/>
    <w:multiLevelType w:val="hybridMultilevel"/>
    <w:tmpl w:val="9F0E5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3"/>
    <w:rsid w:val="0004165B"/>
    <w:rsid w:val="00081770"/>
    <w:rsid w:val="00140A2F"/>
    <w:rsid w:val="001C0622"/>
    <w:rsid w:val="0020482B"/>
    <w:rsid w:val="002161FE"/>
    <w:rsid w:val="00226733"/>
    <w:rsid w:val="00236B00"/>
    <w:rsid w:val="00271ED7"/>
    <w:rsid w:val="002A0BB9"/>
    <w:rsid w:val="002F2D4F"/>
    <w:rsid w:val="002F6544"/>
    <w:rsid w:val="004050F2"/>
    <w:rsid w:val="004112F7"/>
    <w:rsid w:val="004226A6"/>
    <w:rsid w:val="00422D96"/>
    <w:rsid w:val="0047129F"/>
    <w:rsid w:val="00493680"/>
    <w:rsid w:val="00517305"/>
    <w:rsid w:val="00562B4F"/>
    <w:rsid w:val="00665C6A"/>
    <w:rsid w:val="006E2C23"/>
    <w:rsid w:val="0078480D"/>
    <w:rsid w:val="007D5B6D"/>
    <w:rsid w:val="008043FD"/>
    <w:rsid w:val="00923C3A"/>
    <w:rsid w:val="00A62BD1"/>
    <w:rsid w:val="00AE5477"/>
    <w:rsid w:val="00AE5D33"/>
    <w:rsid w:val="00B008DF"/>
    <w:rsid w:val="00B337C1"/>
    <w:rsid w:val="00B631A5"/>
    <w:rsid w:val="00C0083B"/>
    <w:rsid w:val="00C76A61"/>
    <w:rsid w:val="00CB783B"/>
    <w:rsid w:val="00CC405B"/>
    <w:rsid w:val="00D112B4"/>
    <w:rsid w:val="00D40EA0"/>
    <w:rsid w:val="00D71708"/>
    <w:rsid w:val="00DB4679"/>
    <w:rsid w:val="00DE2741"/>
    <w:rsid w:val="00E05FE6"/>
    <w:rsid w:val="00EA4A5B"/>
    <w:rsid w:val="00EE2DA6"/>
    <w:rsid w:val="00EE7648"/>
    <w:rsid w:val="00F17AB7"/>
    <w:rsid w:val="00F204D0"/>
    <w:rsid w:val="00F24871"/>
    <w:rsid w:val="00F43ACB"/>
    <w:rsid w:val="00F447F8"/>
    <w:rsid w:val="00FA68BD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65B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rsid w:val="00226733"/>
    <w:pPr>
      <w:spacing w:before="168"/>
      <w:jc w:val="both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2F65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6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5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65B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rsid w:val="00226733"/>
    <w:pPr>
      <w:spacing w:before="168"/>
      <w:jc w:val="both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2F65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6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5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Русские Фонды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Kanahina Eugenia</dc:creator>
  <cp:lastModifiedBy>Комаров Алексей Константинович</cp:lastModifiedBy>
  <cp:revision>4</cp:revision>
  <cp:lastPrinted>2013-12-06T09:50:00Z</cp:lastPrinted>
  <dcterms:created xsi:type="dcterms:W3CDTF">2013-12-06T09:53:00Z</dcterms:created>
  <dcterms:modified xsi:type="dcterms:W3CDTF">2013-12-11T09:21:00Z</dcterms:modified>
</cp:coreProperties>
</file>