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9B" w:rsidRPr="005E769B" w:rsidRDefault="005E769B" w:rsidP="005E769B">
      <w:pPr>
        <w:spacing w:after="0" w:line="375" w:lineRule="atLeast"/>
        <w:jc w:val="both"/>
        <w:outlineLvl w:val="0"/>
        <w:rPr>
          <w:rFonts w:ascii="Times New Roman" w:eastAsia="Times New Roman" w:hAnsi="Times New Roman" w:cs="Times New Roman"/>
          <w:b/>
          <w:color w:val="105089"/>
          <w:kern w:val="36"/>
          <w:sz w:val="28"/>
          <w:szCs w:val="28"/>
          <w:lang w:eastAsia="ru-RU"/>
        </w:rPr>
      </w:pPr>
      <w:r w:rsidRPr="005E769B">
        <w:rPr>
          <w:rFonts w:ascii="Times New Roman" w:eastAsia="Times New Roman" w:hAnsi="Times New Roman" w:cs="Times New Roman"/>
          <w:b/>
          <w:color w:val="105089"/>
          <w:kern w:val="36"/>
          <w:sz w:val="28"/>
          <w:szCs w:val="28"/>
          <w:lang w:eastAsia="ru-RU"/>
        </w:rPr>
        <w:t xml:space="preserve">Иван </w:t>
      </w:r>
      <w:proofErr w:type="spellStart"/>
      <w:r w:rsidRPr="005E769B">
        <w:rPr>
          <w:rFonts w:ascii="Times New Roman" w:eastAsia="Times New Roman" w:hAnsi="Times New Roman" w:cs="Times New Roman"/>
          <w:b/>
          <w:color w:val="105089"/>
          <w:kern w:val="36"/>
          <w:sz w:val="28"/>
          <w:szCs w:val="28"/>
          <w:lang w:eastAsia="ru-RU"/>
        </w:rPr>
        <w:t>Заргарян</w:t>
      </w:r>
      <w:proofErr w:type="spellEnd"/>
      <w:r w:rsidRPr="005E769B">
        <w:rPr>
          <w:rFonts w:ascii="Times New Roman" w:eastAsia="Times New Roman" w:hAnsi="Times New Roman" w:cs="Times New Roman"/>
          <w:b/>
          <w:color w:val="105089"/>
          <w:kern w:val="36"/>
          <w:sz w:val="28"/>
          <w:szCs w:val="28"/>
          <w:lang w:eastAsia="ru-RU"/>
        </w:rPr>
        <w:t>: Пенсионной реформе исполняется шесть лет</w:t>
      </w:r>
    </w:p>
    <w:p w:rsidR="005E769B" w:rsidRPr="005E769B" w:rsidRDefault="005E769B" w:rsidP="005E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Наиболее значимыми событиями уходящег</w:t>
      </w:r>
      <w:bookmarkStart w:id="0" w:name="_GoBack"/>
      <w:bookmarkEnd w:id="0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шестого года реформирования пенсионной </w:t>
      </w:r>
      <w:proofErr w:type="gram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</w:t>
      </w:r>
      <w:proofErr w:type="gram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мой взгляд являются: пенсионная часть послания президента страны Федеральному собранию; «схватка» трех «китов» </w:t>
      </w:r>
      <w:proofErr w:type="spell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Минфина и Минэкономразвития РФ по поводу накопительной части трудовой пенсии; 15-летие создания в России негосударственных пенсионных фондов; опубликование в «Российской газете» статьи председателя конституционного суда РФ В. </w:t>
      </w:r>
      <w:proofErr w:type="spell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Зорькина</w:t>
      </w:r>
      <w:proofErr w:type="spell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«Станда</w:t>
      </w:r>
      <w:proofErr w:type="gram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 спр</w:t>
      </w:r>
      <w:proofErr w:type="gram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аведливости» и отставка главы </w:t>
      </w:r>
      <w:proofErr w:type="spell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 </w:t>
      </w:r>
      <w:proofErr w:type="spell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Зурабова</w:t>
      </w:r>
      <w:proofErr w:type="spell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Попробую проанализировать в какой мере каждое из событий повлияло</w:t>
      </w:r>
      <w:proofErr w:type="gramEnd"/>
      <w:r w:rsidRPr="005E7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реформацию.</w:t>
      </w:r>
    </w:p>
    <w:p w:rsidR="005E769B" w:rsidRPr="005E769B" w:rsidRDefault="005E769B" w:rsidP="005E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значимыми событиями уходящего шестого года реформирования пенсионной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мой взгляд являются: пенсионная часть послания президента страны Федеральному собранию; «схватка» трех «китов»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Минфина и Минэкономразвития РФ по поводу накопительной части трудовой пенсии; 15-летие создания в России негосударственных пенсионных фондов; опубликование в «Российской газете» статьи председателя конституционного суда РФ В.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Зорькина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«Станда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спр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аведливости» и отставка главы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Зурабова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Попробую проанализировать в какой мере каждое из событий повлияло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реформацию.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уходом «отца – основателя» пенсионная система окончательно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осиротела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теперь будет нести ответственность за ее реализацию непонятно.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осознав по прошествии пяти лет с момента начала реформы, что накопительная часть трудовой пенсии искусственным образом «втиснутая» в формат пенсионного страхования стала в нем «инородным телом», возглавляемое пенсионным гуру министерство предложило сделать накопительные пенсии добровольными.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и Минфин высказались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Полагаю, что с уходом М.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Зурабова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 закончится не в пользу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тем, наряду с накопительной, совсем неуклюже в «теле» трудовой пенсии выглядит и базовая часть. О необходимости ее вывода оттуда уже говорят не только профессионалы, но и любители.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учитывая, что по своей природе базовая, вовсе не трудовая (страховая), а социальная пенсия, ее следует формировать и выплачивать социальным фондом. Финансирование этой пенсии должно быть бюджетное. Высвободившиеся средства ЕСН следует направить на финансирование страховой части пенсии.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социальной пенсии должен быть не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прожиточного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(ПМ) или еще лучше восстановительного потребительского бюджета (ВПБ) (классификация Всероссийского центра уровня жизни), являющегося более точным, нежели ПМ, индикатором уровня относительной бедности.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директор вышеуказанного центра господин В. Бобков, высказывает предложение назвать социальный фонд – фондом государственных гарантий и считает, что управляться он должен не государством, а правлением, в которое войдут работодатели, профсоюзы и пенсионеры …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квинтэссенцией нынешнего состояния пенсионной системы является противоречие между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нестраховыми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частями «тела» пенсии и страховым «духом» реформы.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Устранять это противоречие надо незамедлительно, так как нынешний коэффициент замещения достиг двадцати пяти процентов (исторического минимума), а ускоренная индексация базовой части в составе трудовой пенсии вызывает постоянный рост дефицита ПФР, т.е. ведет к финансовой неустойчивости системы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вцелом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пенсионной реформы составляют основное содержание выступления господина В.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Зорькина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страницах «Российской газеты». Автор выносит справедливый приговор нынешнему состоянию пенсионного обеспечения в стране.</w:t>
      </w: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некоторые «статьи обвинения»: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отсутствуют законы, принятие которых прямо предусмотрено ФЗ «О трудовых пенсиях в РФ» (п.9 ст. 14);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отсутствует ясность в решении вопроса о судьбе взносов на накопительную часть пенсии, перечисленных за граждан 1952-1967 гг. рождения в период с 2002 по 2004 годы;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выполнено Определение конституционного суда от 11 мая 2006 года № 187-О, согласно которому федеральному законодателю надлежало осуществить правовое регулирование не позднее 1 января 2007 года;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серьезным недостатком действующей пенсионной системы является ее ориентация на решение финансовых проблем в ущерб конституционным гарантиям социальных прав в связи с необоснованным переходом от распределительной системы к накопительной;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игнорирование социальных задач при внесении изменений в налоговое законодательство (снижением в 2005 году на 8% ставки единого социального налога, направляемого на финансирование пенсий).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Пенсионная система РФ сегодня, резюмирует председатель конституционного суда России, оказалась в таком состоянии, которое не соответствует ее правовой природе и социальному предназначению.</w:t>
      </w: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сентября свое пятнадцатилетие отметили негосударственные пенсионные фонды. Юбилей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НПФы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встретили впечатляющими успехами. В докладе национальной ассоциации негосударственных пенсионных фондов «Анализ деятельности НПФ» приводятся следующие показатели работы фондов: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пенсионные резервы достигли величины 450 миллиардов рублей;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количество участников – 6,5 миллионов человек, что составляет 9,6% занятого в экономике России населения;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негосударственную пенсию получают 970 тысяч человек (один из 42 пенсионеров в среднем по РФ);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количество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застрахованных лиц, формирующих накопительную часть трудовой пенсии в НПФ ежегодно увеличивается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раза.</w:t>
      </w: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почивать на лаврах не приходится, ибо: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- 90% всех пенсионных резервов приходится на долю ТОР–20 фондов;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динамика развития НПФ в значительной степени определяется опережающим ростом крупнейших фондов;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более половины фондов находится в Москве (49%) и Санкт-Петербурге (8%). На крупнейшие субъекты РФ – Нижегородскую, Свердловскую, Иркутскую, Самарскую, Пермскую, Ростовскую области, республику Татарстан и Ханты-Мансийский автономный округ вместе взятые приходится 24% от общего числа НПФ страны;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большинство участников НПФ (около 80%) оказывается в системе при заключении договора об НПО их работодателями.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эти «шероховатости» самим НПФ без поддержки государства не под силу.</w:t>
      </w: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большому счету, для становления и полноценного развития частным фондам от государства не так уж многого и надо. Необходимо, чтобы оно: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содействовало росту доверия населения к НПФ путем экономических и правовых гарантий;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создало благоприятный налоговый климат в соответствии с международной практикой;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усовершенствовало законодательство, регулирующее деятельность НПФ.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пунктов на практике не оставляет никаких сомнений в том, что фонды смогут стать надежными партнерами государства в деле обеспечения достойного уровня жизни нашим пенсионерам.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послании Федеральному собранию президент, среди прочих мер, по улучшению жизни пенсионеров предложил идею о государственной поддержке граждан, решивших добровольно формировать свои пенсионные накопления в пенсионном фонде России. В выступлении на конференции «Развитие пенсионной системы в России» начальник отдела развития пенсионной системы Минэкономразвития РФ Е. Артемова рассказала о ключевых моментах законопроекта, разработанного в недрах министерства, претворяющего в жизнь идею В.В. Путина.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законопроекте отмечается, что с 1 июля 2008 года и по 30 июня 2013 года граждане страны смогут подключиться к системе добровольных пенсионных накоплений. Срок господдержки составит 10 лет. Поддержка государства будет пропорциональна личным вкладам граждан, но не превысит 10 тысяч рублей в год. Личный взнос гражданина не может быть менее 2 тысяч рублей в год. В случае если он продолжит работать после выхода на пенсию и при этом откажется от трудовой пенсии, то государственная поддержка на время работы гражданина увеличится в три раза. Платить дополнительные взносы гражданин будет самостоятельно или через работодателя. Дополнительные взносы включатся в состав накопительной части трудовой пенсии и будут аккумулироваться в ПФР.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граждан,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неучаствующих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обязательного пенсионного страхования в ПФР будет открыт счет для зачисления этих взносов.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Госсредства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Фонда национального благосостояния будут поступать на эти счета граждан на следующий год после завершения финансового года. Поступившие суммы дополнительных взносов, объединенные с суммами страховых взносов на формирование накопительной части трудовых пенсий, подлежат передаче управляющим компаниям и НПФ по основаниям, в порядке и в сроки, установленные ФЗ «Об инвестировании сре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финансирования накопительной части трудовой пенсии в РФ».</w:t>
      </w:r>
    </w:p>
    <w:p w:rsidR="005E769B" w:rsidRPr="005E769B" w:rsidRDefault="005E769B" w:rsidP="005E7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Позволю себе высказать некоторые замечания по законопроекту.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Во-первых, не ясно: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с кем и в какие правоотношения вступят граждане, решившие вносить добровольные взносы?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предусмотрено ли наследование личных накоплений?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отдавая деньги в ПФР, лишается ли гражданин права собственности на них? </w:t>
      </w: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каковы вид и порядок выплаты пенсии?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не могу не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поинтересоваться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долго будет продолжаться «танец с граблями»? - неэффективное использование средств накопительной части пенсии. 90 процентов этих средств (около 300 миллиардов рублей), находящиеся под управлением государственной управляющей компании за 2004 – 2006 годы обесценились по отношению к инфляции на 9, а по отношению к зарплате на 60 процентов. И в эту «топку» бросаются новые десятки миллиардов…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предлагаю простую и надежную модель воплощения в жизнь идеи президента.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Граждане самостоятельно накапливают деньги на дополнительную пенсию. В качестве инструментов для накопления используются депозиты,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ПИФы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ОФБу</w:t>
      </w:r>
      <w:proofErr w:type="spell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иные, согласно знаниям, опыту и пристрастиям будущих пенсионеров.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момент наступления пенсионных </w:t>
      </w:r>
      <w:proofErr w:type="gramStart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proofErr w:type="gramEnd"/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накопленные средства переводятся, согласно пожеланию гражданина, на отдельный счет в ПФР. На этот же счет из Федерального бюджета поступает сумма эквивалентная (законодательно регламентируемая) накоплениям гражданина. С пенсионным фондом России заключается договор, в котором определяются размер, порядок, виды и другие существенные положения пенсионного обеспечения гражданина.</w:t>
      </w:r>
    </w:p>
    <w:p w:rsidR="005E769B" w:rsidRPr="005E769B" w:rsidRDefault="005E769B" w:rsidP="005E769B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модель практически устраняет опасность обесценивания денег из-за неэффективного управления, снижает инвестиционные риски, предельно упрощает взаимоотношения и обязанности граждан и государства.</w:t>
      </w:r>
    </w:p>
    <w:p w:rsidR="002E31C8" w:rsidRDefault="002E31C8"/>
    <w:sectPr w:rsidR="002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9B"/>
    <w:rsid w:val="002E31C8"/>
    <w:rsid w:val="005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1</cp:revision>
  <dcterms:created xsi:type="dcterms:W3CDTF">2013-11-12T08:02:00Z</dcterms:created>
  <dcterms:modified xsi:type="dcterms:W3CDTF">2013-11-12T08:03:00Z</dcterms:modified>
</cp:coreProperties>
</file>