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A" w:rsidRDefault="00256398" w:rsidP="00CE0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некоторых результатах расчета на калькуляторе Пенсионного фонда России</w:t>
      </w:r>
    </w:p>
    <w:p w:rsidR="008B3CDC" w:rsidRDefault="008B3CDC" w:rsidP="00CE0E46">
      <w:pPr>
        <w:jc w:val="center"/>
        <w:rPr>
          <w:b/>
          <w:sz w:val="28"/>
          <w:szCs w:val="28"/>
        </w:rPr>
      </w:pPr>
    </w:p>
    <w:p w:rsidR="00256398" w:rsidRPr="00CE0E46" w:rsidRDefault="008B3CDC" w:rsidP="008B3C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04900" cy="1657350"/>
            <wp:effectExtent l="0" t="0" r="0" b="0"/>
            <wp:docPr id="2" name="Рисунок 2" descr="Z:\Журнал Пенсионное обозрение\Фотографии\Разные\Kolobae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Kolobaev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E46" w:rsidRPr="008B3CDC" w:rsidRDefault="008B3CDC" w:rsidP="00CE0E46">
      <w:pPr>
        <w:jc w:val="right"/>
        <w:rPr>
          <w:i/>
        </w:rPr>
      </w:pPr>
      <w:r w:rsidRPr="008B3CDC">
        <w:rPr>
          <w:i/>
        </w:rPr>
        <w:t>Олег Михайлович Колобаев,</w:t>
      </w:r>
      <w:r w:rsidRPr="008B3CDC">
        <w:rPr>
          <w:i/>
        </w:rPr>
        <w:br/>
      </w:r>
      <w:r w:rsidR="00CE0E46" w:rsidRPr="008B3CDC">
        <w:rPr>
          <w:i/>
        </w:rPr>
        <w:t>советник Президента НАПФ</w:t>
      </w:r>
    </w:p>
    <w:p w:rsidR="000A3349" w:rsidRDefault="000A3349">
      <w:pPr>
        <w:rPr>
          <w:szCs w:val="24"/>
        </w:rPr>
      </w:pPr>
    </w:p>
    <w:p w:rsidR="002A43F5" w:rsidRPr="00340AF0" w:rsidRDefault="000A3349" w:rsidP="002A43F5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t xml:space="preserve">С 1 января 2015 года </w:t>
      </w:r>
      <w:r w:rsidRPr="00C865B1">
        <w:rPr>
          <w:color w:val="000000"/>
          <w:szCs w:val="24"/>
        </w:rPr>
        <w:t>в России вводится новый порядок формирования пенсионных прав граждан и начисления пенсии в системе обязательного пенсионного страхования</w:t>
      </w:r>
      <w:r>
        <w:rPr>
          <w:color w:val="000000"/>
          <w:szCs w:val="24"/>
        </w:rPr>
        <w:t>.</w:t>
      </w:r>
      <w:r w:rsidR="002A43F5">
        <w:rPr>
          <w:color w:val="000000"/>
          <w:szCs w:val="24"/>
        </w:rPr>
        <w:t xml:space="preserve"> </w:t>
      </w:r>
    </w:p>
    <w:p w:rsidR="000A3349" w:rsidRPr="00A563C7" w:rsidRDefault="000A3349" w:rsidP="000A3349">
      <w:pPr>
        <w:spacing w:after="0" w:line="240" w:lineRule="auto"/>
        <w:ind w:firstLine="709"/>
        <w:jc w:val="both"/>
      </w:pPr>
      <w:r w:rsidRPr="00A563C7">
        <w:t>В отличие от пенсионной формулы 2002 – 2014 гг., построенной на условно</w:t>
      </w:r>
      <w:r>
        <w:t>-</w:t>
      </w:r>
      <w:r w:rsidRPr="00A563C7">
        <w:t>накопительном принципе формирования пенсионных прав (расчетный пенсионный капитал)</w:t>
      </w:r>
      <w:r>
        <w:t>,</w:t>
      </w:r>
      <w:r w:rsidRPr="00A563C7">
        <w:t xml:space="preserve"> новая пенсионная формула </w:t>
      </w:r>
      <w:r>
        <w:t xml:space="preserve">вводит понятие </w:t>
      </w:r>
      <w:r w:rsidRPr="00A563C7">
        <w:t xml:space="preserve">индивидуального пенсионного коэффициента - параметра, отражающего в относительных единицах пенсионные права застрахованного лица на страховую пенсию, </w:t>
      </w:r>
      <w:r w:rsidR="009424F4">
        <w:t xml:space="preserve">которые </w:t>
      </w:r>
      <w:r w:rsidRPr="00A563C7">
        <w:t>формир</w:t>
      </w:r>
      <w:r w:rsidR="009424F4">
        <w:t>уются</w:t>
      </w:r>
      <w:r w:rsidRPr="00A563C7">
        <w:t xml:space="preserve"> с учетом</w:t>
      </w:r>
      <w:r>
        <w:t>:</w:t>
      </w:r>
    </w:p>
    <w:p w:rsidR="000A3349" w:rsidRPr="00A563C7" w:rsidRDefault="009424F4" w:rsidP="000A33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суммы </w:t>
      </w:r>
      <w:r w:rsidR="000A3349" w:rsidRPr="00A563C7">
        <w:rPr>
          <w:rFonts w:ascii="Times New Roman" w:hAnsi="Times New Roman" w:cs="Times New Roman"/>
        </w:rPr>
        <w:t xml:space="preserve">начисленных и уплаченных в Пенсионный фонд России </w:t>
      </w:r>
      <w:r w:rsidR="00256398">
        <w:rPr>
          <w:rFonts w:ascii="Times New Roman" w:hAnsi="Times New Roman" w:cs="Times New Roman"/>
        </w:rPr>
        <w:t xml:space="preserve">(ПФР) </w:t>
      </w:r>
      <w:r w:rsidR="000A3349" w:rsidRPr="00A563C7">
        <w:rPr>
          <w:rFonts w:ascii="Times New Roman" w:hAnsi="Times New Roman" w:cs="Times New Roman"/>
        </w:rPr>
        <w:t>страховых взносов, предназначенных для финансирования страховой пенсии</w:t>
      </w:r>
      <w:r>
        <w:rPr>
          <w:rFonts w:ascii="Times New Roman" w:hAnsi="Times New Roman" w:cs="Times New Roman"/>
        </w:rPr>
        <w:t>;</w:t>
      </w:r>
    </w:p>
    <w:p w:rsidR="000A3349" w:rsidRPr="00A563C7" w:rsidRDefault="000A3349" w:rsidP="000A33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3C7">
        <w:rPr>
          <w:rFonts w:ascii="Times New Roman" w:hAnsi="Times New Roman" w:cs="Times New Roman"/>
        </w:rPr>
        <w:t>продолжительности страхового стажа</w:t>
      </w:r>
      <w:r w:rsidR="009424F4">
        <w:rPr>
          <w:rFonts w:ascii="Times New Roman" w:hAnsi="Times New Roman" w:cs="Times New Roman"/>
        </w:rPr>
        <w:t>;</w:t>
      </w:r>
    </w:p>
    <w:p w:rsidR="000A3349" w:rsidRDefault="000A3349" w:rsidP="000A3349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3C7">
        <w:rPr>
          <w:rFonts w:ascii="Times New Roman" w:hAnsi="Times New Roman" w:cs="Times New Roman"/>
        </w:rPr>
        <w:t>продолжительности периода отказа от получения страховой пенсии.</w:t>
      </w:r>
    </w:p>
    <w:p w:rsidR="000A3349" w:rsidRPr="00B519E9" w:rsidRDefault="000A3349" w:rsidP="00B519E9">
      <w:pPr>
        <w:spacing w:after="0" w:line="240" w:lineRule="auto"/>
        <w:ind w:left="1069"/>
        <w:jc w:val="both"/>
      </w:pPr>
    </w:p>
    <w:p w:rsidR="000A3349" w:rsidRDefault="000A3349" w:rsidP="000A3349">
      <w:pPr>
        <w:spacing w:after="0" w:line="240" w:lineRule="auto"/>
        <w:ind w:firstLine="709"/>
        <w:jc w:val="both"/>
        <w:rPr>
          <w:rFonts w:eastAsia="Calibri"/>
        </w:rPr>
      </w:pPr>
      <w:r w:rsidRPr="00E505E8">
        <w:rPr>
          <w:rFonts w:eastAsia="Calibri"/>
        </w:rPr>
        <w:t xml:space="preserve">Новая формула для расчета страховой пенсии по старости 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СПст</w:t>
      </w:r>
      <w:proofErr w:type="spellEnd"/>
      <w:r>
        <w:rPr>
          <w:rFonts w:eastAsia="Calibri"/>
        </w:rPr>
        <w:t xml:space="preserve">) </w:t>
      </w:r>
      <w:r w:rsidRPr="00E505E8">
        <w:rPr>
          <w:rFonts w:eastAsia="Calibri"/>
        </w:rPr>
        <w:t>выглядит так:</w:t>
      </w:r>
    </w:p>
    <w:p w:rsidR="000A3349" w:rsidRPr="00E505E8" w:rsidRDefault="000A3349" w:rsidP="000A3349">
      <w:pPr>
        <w:spacing w:after="0" w:line="240" w:lineRule="auto"/>
        <w:jc w:val="both"/>
        <w:rPr>
          <w:rFonts w:eastAsia="Calibri"/>
        </w:rPr>
      </w:pPr>
    </w:p>
    <w:p w:rsidR="000A3349" w:rsidRPr="00E505E8" w:rsidRDefault="000A3349" w:rsidP="000A3349">
      <w:pPr>
        <w:spacing w:after="0" w:line="240" w:lineRule="auto"/>
        <w:jc w:val="center"/>
        <w:rPr>
          <w:rFonts w:eastAsia="Calibri"/>
        </w:rPr>
      </w:pPr>
      <w:proofErr w:type="spellStart"/>
      <w:r w:rsidRPr="00E505E8">
        <w:rPr>
          <w:rFonts w:eastAsia="Calibri"/>
        </w:rPr>
        <w:t>СПст</w:t>
      </w:r>
      <w:proofErr w:type="spellEnd"/>
      <w:r w:rsidRPr="00E505E8">
        <w:rPr>
          <w:rFonts w:eastAsia="Calibri"/>
        </w:rPr>
        <w:t xml:space="preserve"> = ИПК * СПК;</w:t>
      </w:r>
    </w:p>
    <w:p w:rsidR="000A3349" w:rsidRDefault="000A3349" w:rsidP="000A3349">
      <w:pPr>
        <w:spacing w:after="0" w:line="240" w:lineRule="auto"/>
        <w:ind w:left="709"/>
        <w:jc w:val="both"/>
      </w:pPr>
      <w:r>
        <w:t>г</w:t>
      </w:r>
      <w:r w:rsidRPr="00E505E8">
        <w:rPr>
          <w:rFonts w:eastAsia="Calibri"/>
        </w:rPr>
        <w:t xml:space="preserve">де </w:t>
      </w:r>
    </w:p>
    <w:p w:rsidR="000A3349" w:rsidRDefault="000A3349" w:rsidP="000A3349">
      <w:pPr>
        <w:spacing w:after="0" w:line="240" w:lineRule="auto"/>
        <w:ind w:left="709"/>
        <w:jc w:val="both"/>
      </w:pPr>
      <w:r w:rsidRPr="00E505E8">
        <w:rPr>
          <w:rFonts w:eastAsia="Calibri"/>
        </w:rPr>
        <w:t>ИПК – индивидуальный пенсионный коэффициент,</w:t>
      </w:r>
    </w:p>
    <w:p w:rsidR="000A3349" w:rsidRPr="00E505E8" w:rsidRDefault="000A3349" w:rsidP="000A3349">
      <w:pPr>
        <w:spacing w:after="0" w:line="240" w:lineRule="auto"/>
        <w:ind w:left="709"/>
        <w:jc w:val="both"/>
        <w:rPr>
          <w:rFonts w:eastAsia="Calibri"/>
        </w:rPr>
      </w:pPr>
      <w:r w:rsidRPr="00E505E8">
        <w:rPr>
          <w:rFonts w:eastAsia="Calibri"/>
        </w:rPr>
        <w:t>СПК – стоимость одного пенсионного коэффициента по состоянию на день, с которого назначается страховая пенсия.</w:t>
      </w:r>
    </w:p>
    <w:p w:rsidR="000A3349" w:rsidRPr="000A0D6A" w:rsidRDefault="000A3349" w:rsidP="000A3349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92F29">
        <w:rPr>
          <w:rFonts w:eastAsia="Times New Roman"/>
          <w:color w:val="000000"/>
          <w:szCs w:val="24"/>
          <w:lang w:eastAsia="ru-RU"/>
        </w:rPr>
        <w:t xml:space="preserve">При </w:t>
      </w:r>
      <w:r w:rsidRPr="000A0D6A">
        <w:rPr>
          <w:rFonts w:eastAsia="Times New Roman"/>
          <w:color w:val="000000"/>
          <w:szCs w:val="24"/>
          <w:lang w:eastAsia="ru-RU"/>
        </w:rPr>
        <w:t xml:space="preserve">определении индивидуального пенсионного коэффициента </w:t>
      </w:r>
      <w:r>
        <w:rPr>
          <w:rFonts w:eastAsia="Times New Roman"/>
          <w:color w:val="000000"/>
          <w:szCs w:val="24"/>
          <w:lang w:eastAsia="ru-RU"/>
        </w:rPr>
        <w:t xml:space="preserve">(ИПК) </w:t>
      </w:r>
      <w:r w:rsidRPr="000A0D6A">
        <w:rPr>
          <w:rFonts w:eastAsia="Times New Roman"/>
          <w:color w:val="000000"/>
          <w:szCs w:val="24"/>
          <w:lang w:eastAsia="ru-RU"/>
        </w:rPr>
        <w:t xml:space="preserve">для </w:t>
      </w:r>
      <w:r w:rsidRPr="00E92F29">
        <w:rPr>
          <w:rFonts w:eastAsia="Times New Roman"/>
          <w:color w:val="000000"/>
          <w:szCs w:val="24"/>
          <w:lang w:eastAsia="ru-RU"/>
        </w:rPr>
        <w:t>расчет</w:t>
      </w:r>
      <w:r>
        <w:rPr>
          <w:rFonts w:eastAsia="Times New Roman"/>
          <w:color w:val="000000"/>
          <w:szCs w:val="24"/>
          <w:lang w:eastAsia="ru-RU"/>
        </w:rPr>
        <w:t>а</w:t>
      </w:r>
      <w:r w:rsidRPr="00E92F29">
        <w:rPr>
          <w:rFonts w:eastAsia="Times New Roman"/>
          <w:color w:val="000000"/>
          <w:szCs w:val="24"/>
          <w:lang w:eastAsia="ru-RU"/>
        </w:rPr>
        <w:t xml:space="preserve"> страховой пенсии суммируются все годовые пенсионные коэффициенты, в том числе особые коэффициенты</w:t>
      </w:r>
      <w:r w:rsidR="009424F4">
        <w:rPr>
          <w:rFonts w:eastAsia="Times New Roman"/>
          <w:color w:val="000000"/>
          <w:szCs w:val="24"/>
          <w:lang w:eastAsia="ru-RU"/>
        </w:rPr>
        <w:t xml:space="preserve">, назначаемые </w:t>
      </w:r>
      <w:r w:rsidRPr="00E92F29">
        <w:rPr>
          <w:rFonts w:eastAsia="Times New Roman"/>
          <w:color w:val="000000"/>
          <w:szCs w:val="24"/>
          <w:lang w:eastAsia="ru-RU"/>
        </w:rPr>
        <w:t xml:space="preserve"> за социально значимые периоды</w:t>
      </w:r>
      <w:r w:rsidR="009424F4">
        <w:rPr>
          <w:rFonts w:eastAsia="Times New Roman"/>
          <w:color w:val="000000"/>
          <w:szCs w:val="24"/>
          <w:lang w:eastAsia="ru-RU"/>
        </w:rPr>
        <w:t xml:space="preserve"> (время ухода за ребенком, время службы в вооруженных силах и т.п.)</w:t>
      </w:r>
      <w:r w:rsidRPr="00E92F29">
        <w:rPr>
          <w:rFonts w:eastAsia="Times New Roman"/>
          <w:color w:val="000000"/>
          <w:szCs w:val="24"/>
          <w:lang w:eastAsia="ru-RU"/>
        </w:rPr>
        <w:t>.</w:t>
      </w:r>
    </w:p>
    <w:p w:rsidR="000A3349" w:rsidRPr="000A0D6A" w:rsidRDefault="000A3349" w:rsidP="000A3349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E92F29">
        <w:rPr>
          <w:rFonts w:eastAsia="Times New Roman"/>
          <w:color w:val="000000"/>
          <w:szCs w:val="24"/>
          <w:lang w:eastAsia="ru-RU"/>
        </w:rPr>
        <w:t>Годовой индивидуальный пенсионный коэффициент равен отношению суммы</w:t>
      </w:r>
      <w:r w:rsidRPr="000A0D6A">
        <w:rPr>
          <w:rFonts w:eastAsia="Times New Roman"/>
          <w:color w:val="000000"/>
          <w:szCs w:val="24"/>
          <w:lang w:eastAsia="ru-RU"/>
        </w:rPr>
        <w:t xml:space="preserve"> </w:t>
      </w:r>
      <w:r w:rsidRPr="00E92F29">
        <w:rPr>
          <w:rFonts w:eastAsia="Times New Roman"/>
          <w:color w:val="000000"/>
          <w:szCs w:val="24"/>
          <w:lang w:eastAsia="ru-RU"/>
        </w:rPr>
        <w:t>страховых взносов</w:t>
      </w:r>
      <w:r w:rsidRPr="000A3349">
        <w:rPr>
          <w:rFonts w:eastAsia="Times New Roman"/>
          <w:color w:val="000000"/>
          <w:szCs w:val="24"/>
          <w:lang w:eastAsia="ru-RU"/>
        </w:rPr>
        <w:t xml:space="preserve"> </w:t>
      </w:r>
      <w:r w:rsidRPr="00E92F29">
        <w:rPr>
          <w:rFonts w:eastAsia="Times New Roman"/>
          <w:color w:val="000000"/>
          <w:szCs w:val="24"/>
          <w:lang w:eastAsia="ru-RU"/>
        </w:rPr>
        <w:t>на формирование страховой пенсии</w:t>
      </w:r>
      <w:r w:rsidRPr="000A0D6A">
        <w:rPr>
          <w:rFonts w:eastAsia="Times New Roman"/>
          <w:color w:val="000000"/>
          <w:szCs w:val="24"/>
          <w:lang w:eastAsia="ru-RU"/>
        </w:rPr>
        <w:t xml:space="preserve">, </w:t>
      </w:r>
      <w:r w:rsidRPr="00E92F29">
        <w:rPr>
          <w:rFonts w:eastAsia="Times New Roman"/>
          <w:color w:val="000000"/>
          <w:szCs w:val="24"/>
          <w:lang w:eastAsia="ru-RU"/>
        </w:rPr>
        <w:t>уплаченных</w:t>
      </w:r>
      <w:r w:rsidRPr="000A0D6A">
        <w:rPr>
          <w:rFonts w:eastAsia="Times New Roman"/>
          <w:color w:val="000000"/>
          <w:szCs w:val="24"/>
          <w:lang w:eastAsia="ru-RU"/>
        </w:rPr>
        <w:t xml:space="preserve"> за работника,</w:t>
      </w:r>
      <w:r w:rsidRPr="00E92F29">
        <w:rPr>
          <w:rFonts w:eastAsia="Times New Roman"/>
          <w:color w:val="000000"/>
          <w:szCs w:val="24"/>
          <w:lang w:eastAsia="ru-RU"/>
        </w:rPr>
        <w:t xml:space="preserve"> к сумме страховых взносов с максимальной облагаемой взнос</w:t>
      </w:r>
      <w:r w:rsidRPr="000A0D6A">
        <w:rPr>
          <w:rFonts w:eastAsia="Times New Roman"/>
          <w:color w:val="000000"/>
          <w:szCs w:val="24"/>
          <w:lang w:eastAsia="ru-RU"/>
        </w:rPr>
        <w:t>ами</w:t>
      </w:r>
      <w:r w:rsidRPr="00E92F29">
        <w:rPr>
          <w:rFonts w:eastAsia="Times New Roman"/>
          <w:color w:val="000000"/>
          <w:szCs w:val="24"/>
          <w:lang w:eastAsia="ru-RU"/>
        </w:rPr>
        <w:t xml:space="preserve"> заработной платы, уплачиваемых по тарифу 16%</w:t>
      </w:r>
      <w:r w:rsidRPr="000A0D6A">
        <w:rPr>
          <w:rFonts w:eastAsia="Times New Roman"/>
          <w:color w:val="000000"/>
          <w:szCs w:val="24"/>
          <w:lang w:eastAsia="ru-RU"/>
        </w:rPr>
        <w:t xml:space="preserve">. </w:t>
      </w:r>
      <w:r>
        <w:rPr>
          <w:rFonts w:eastAsia="Times New Roman"/>
          <w:color w:val="000000"/>
          <w:szCs w:val="24"/>
          <w:lang w:eastAsia="ru-RU"/>
        </w:rPr>
        <w:t>Для получения годового</w:t>
      </w:r>
      <w:r w:rsidRPr="00E92F29">
        <w:rPr>
          <w:rFonts w:eastAsia="Times New Roman"/>
          <w:color w:val="000000"/>
          <w:szCs w:val="24"/>
          <w:lang w:eastAsia="ru-RU"/>
        </w:rPr>
        <w:t xml:space="preserve"> пенсионн</w:t>
      </w:r>
      <w:r>
        <w:rPr>
          <w:rFonts w:eastAsia="Times New Roman"/>
          <w:color w:val="000000"/>
          <w:szCs w:val="24"/>
          <w:lang w:eastAsia="ru-RU"/>
        </w:rPr>
        <w:t>ого</w:t>
      </w:r>
      <w:r w:rsidRPr="00E92F29">
        <w:rPr>
          <w:rFonts w:eastAsia="Times New Roman"/>
          <w:color w:val="000000"/>
          <w:szCs w:val="24"/>
          <w:lang w:eastAsia="ru-RU"/>
        </w:rPr>
        <w:t xml:space="preserve"> коэффициент</w:t>
      </w:r>
      <w:r>
        <w:rPr>
          <w:rFonts w:eastAsia="Times New Roman"/>
          <w:color w:val="000000"/>
          <w:szCs w:val="24"/>
          <w:lang w:eastAsia="ru-RU"/>
        </w:rPr>
        <w:t>а это</w:t>
      </w:r>
      <w:r w:rsidRPr="000A0D6A">
        <w:rPr>
          <w:rFonts w:eastAsia="Times New Roman"/>
          <w:color w:val="000000"/>
          <w:szCs w:val="24"/>
          <w:lang w:eastAsia="ru-RU"/>
        </w:rPr>
        <w:t xml:space="preserve"> отношение </w:t>
      </w:r>
      <w:r w:rsidRPr="00E92F29">
        <w:rPr>
          <w:rFonts w:eastAsia="Times New Roman"/>
          <w:color w:val="000000"/>
          <w:szCs w:val="24"/>
          <w:lang w:eastAsia="ru-RU"/>
        </w:rPr>
        <w:t>умнож</w:t>
      </w:r>
      <w:r w:rsidRPr="000A0D6A">
        <w:rPr>
          <w:rFonts w:eastAsia="Times New Roman"/>
          <w:color w:val="000000"/>
          <w:szCs w:val="24"/>
          <w:lang w:eastAsia="ru-RU"/>
        </w:rPr>
        <w:t>ается</w:t>
      </w:r>
      <w:r w:rsidRPr="00E92F29">
        <w:rPr>
          <w:rFonts w:eastAsia="Times New Roman"/>
          <w:color w:val="000000"/>
          <w:szCs w:val="24"/>
          <w:lang w:eastAsia="ru-RU"/>
        </w:rPr>
        <w:t xml:space="preserve"> на 10</w:t>
      </w:r>
      <w:r w:rsidR="009424F4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0A3349" w:rsidRDefault="000A3349" w:rsidP="000A3349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:rsidR="009424F4" w:rsidRPr="00503289" w:rsidRDefault="000A3349" w:rsidP="009424F4">
      <w:pPr>
        <w:spacing w:after="0" w:line="240" w:lineRule="auto"/>
        <w:ind w:firstLine="709"/>
        <w:jc w:val="both"/>
        <w:rPr>
          <w:szCs w:val="24"/>
        </w:rPr>
      </w:pPr>
      <w:r w:rsidRPr="00503289">
        <w:rPr>
          <w:rFonts w:eastAsia="Calibri"/>
          <w:szCs w:val="24"/>
        </w:rPr>
        <w:t xml:space="preserve">Стоимость </w:t>
      </w:r>
      <w:r>
        <w:rPr>
          <w:rFonts w:eastAsia="Calibri"/>
          <w:szCs w:val="24"/>
        </w:rPr>
        <w:t>единицы</w:t>
      </w:r>
      <w:r w:rsidRPr="00503289">
        <w:rPr>
          <w:rFonts w:eastAsia="Calibri"/>
          <w:szCs w:val="24"/>
        </w:rPr>
        <w:t xml:space="preserve"> пенсионного коэффициента (СПК) </w:t>
      </w:r>
      <w:r>
        <w:rPr>
          <w:rFonts w:eastAsia="Calibri"/>
          <w:szCs w:val="24"/>
        </w:rPr>
        <w:t xml:space="preserve">будет </w:t>
      </w:r>
      <w:r w:rsidRPr="00E92F29">
        <w:rPr>
          <w:rFonts w:eastAsia="Times New Roman"/>
          <w:color w:val="000000"/>
          <w:szCs w:val="24"/>
          <w:lang w:eastAsia="ru-RU"/>
        </w:rPr>
        <w:t>ежегодно увеличива</w:t>
      </w:r>
      <w:r>
        <w:rPr>
          <w:rFonts w:eastAsia="Times New Roman"/>
          <w:color w:val="000000"/>
          <w:szCs w:val="24"/>
          <w:lang w:eastAsia="ru-RU"/>
        </w:rPr>
        <w:t>ть</w:t>
      </w:r>
      <w:r w:rsidRPr="00E92F29">
        <w:rPr>
          <w:rFonts w:eastAsia="Times New Roman"/>
          <w:color w:val="000000"/>
          <w:szCs w:val="24"/>
          <w:lang w:eastAsia="ru-RU"/>
        </w:rPr>
        <w:t xml:space="preserve">ся на уровень не ниже </w:t>
      </w:r>
      <w:proofErr w:type="gramStart"/>
      <w:r w:rsidRPr="00E92F29">
        <w:rPr>
          <w:rFonts w:eastAsia="Times New Roman"/>
          <w:color w:val="000000"/>
          <w:szCs w:val="24"/>
          <w:lang w:eastAsia="ru-RU"/>
        </w:rPr>
        <w:t>инфляции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и устанавливаться федеральным законом</w:t>
      </w:r>
      <w:r w:rsidR="0062566C">
        <w:rPr>
          <w:rFonts w:eastAsia="Times New Roman"/>
          <w:color w:val="000000"/>
          <w:szCs w:val="24"/>
          <w:lang w:eastAsia="ru-RU"/>
        </w:rPr>
        <w:t xml:space="preserve">, </w:t>
      </w:r>
      <w:r w:rsidR="0062566C">
        <w:lastRenderedPageBreak/>
        <w:t xml:space="preserve">скорее всего законом о бюджете Пенсионного фонда России. </w:t>
      </w:r>
      <w:r w:rsidR="009424F4">
        <w:t xml:space="preserve">Первоначально </w:t>
      </w:r>
      <w:r w:rsidR="0062566C">
        <w:rPr>
          <w:rFonts w:eastAsia="Times New Roman"/>
          <w:color w:val="000000"/>
          <w:szCs w:val="24"/>
          <w:lang w:eastAsia="ru-RU"/>
        </w:rPr>
        <w:t xml:space="preserve">Федеральным законом </w:t>
      </w:r>
      <w:r w:rsidR="0062566C">
        <w:t xml:space="preserve">от 28.12.2013 г. № 400-ФЗ "О страховых пенсиях" стоимость единицы пенсионного коэффициента по состоянию на 1 января 2015 года установлена равной 64 руб. 10 коп. </w:t>
      </w:r>
      <w:r w:rsidR="009424F4" w:rsidRPr="00503289">
        <w:rPr>
          <w:szCs w:val="24"/>
        </w:rPr>
        <w:t xml:space="preserve">Методика определения стоимости </w:t>
      </w:r>
      <w:r w:rsidR="009424F4">
        <w:rPr>
          <w:szCs w:val="24"/>
        </w:rPr>
        <w:t>единицы</w:t>
      </w:r>
      <w:r w:rsidR="009424F4" w:rsidRPr="00503289">
        <w:rPr>
          <w:szCs w:val="24"/>
        </w:rPr>
        <w:t xml:space="preserve"> пенсионного коэффициента утверждается Правительством Российской Федерации.</w:t>
      </w:r>
    </w:p>
    <w:p w:rsidR="0062566C" w:rsidRDefault="000A3349" w:rsidP="0062566C">
      <w:pPr>
        <w:spacing w:after="0" w:line="240" w:lineRule="auto"/>
        <w:ind w:firstLine="709"/>
        <w:jc w:val="both"/>
      </w:pPr>
      <w:r>
        <w:rPr>
          <w:rFonts w:eastAsia="Times New Roman"/>
          <w:color w:val="000000"/>
          <w:szCs w:val="24"/>
          <w:lang w:eastAsia="ru-RU"/>
        </w:rPr>
        <w:t>Уже назначенные пенсии будут пересчитываться в соответствии с изменением стоимости е</w:t>
      </w:r>
      <w:r w:rsidR="0062566C">
        <w:rPr>
          <w:rFonts w:eastAsia="Times New Roman"/>
          <w:color w:val="000000"/>
          <w:szCs w:val="24"/>
          <w:lang w:eastAsia="ru-RU"/>
        </w:rPr>
        <w:t xml:space="preserve">диницы пенсионного коэффициента. </w:t>
      </w:r>
    </w:p>
    <w:p w:rsidR="000A3349" w:rsidRDefault="000A3349" w:rsidP="0062566C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:rsidR="000A3349" w:rsidRDefault="000A3349" w:rsidP="000A3349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C865B1">
        <w:rPr>
          <w:color w:val="000000"/>
          <w:szCs w:val="24"/>
        </w:rPr>
        <w:t>Условиями возникновения права на страховую пенсию по старости являются</w:t>
      </w:r>
      <w:r>
        <w:rPr>
          <w:color w:val="000000"/>
          <w:szCs w:val="24"/>
        </w:rPr>
        <w:t>:</w:t>
      </w:r>
    </w:p>
    <w:p w:rsidR="000A3349" w:rsidRPr="00503289" w:rsidRDefault="000A3349" w:rsidP="000A33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03289">
        <w:rPr>
          <w:rFonts w:ascii="Times New Roman" w:hAnsi="Times New Roman" w:cs="Times New Roman"/>
          <w:color w:val="000000"/>
          <w:szCs w:val="24"/>
        </w:rPr>
        <w:t xml:space="preserve">достижение возраста 60 лет - для мужчин, 55 лет - для женщин, </w:t>
      </w:r>
    </w:p>
    <w:p w:rsidR="000A3349" w:rsidRPr="00503289" w:rsidRDefault="000A3349" w:rsidP="000A33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03289">
        <w:rPr>
          <w:rFonts w:ascii="Times New Roman" w:hAnsi="Times New Roman" w:cs="Times New Roman"/>
          <w:color w:val="000000"/>
          <w:szCs w:val="24"/>
        </w:rPr>
        <w:t xml:space="preserve">наличие страхового стажа (т.е. минимального стажа уплаты страховых взносов) не менее 15 лет, </w:t>
      </w:r>
    </w:p>
    <w:p w:rsidR="000A3349" w:rsidRPr="00503289" w:rsidRDefault="000A3349" w:rsidP="000A33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03289">
        <w:rPr>
          <w:rFonts w:ascii="Times New Roman" w:hAnsi="Times New Roman" w:cs="Times New Roman"/>
          <w:color w:val="000000"/>
          <w:szCs w:val="24"/>
        </w:rPr>
        <w:t>наличие величины индивидуального пенсионного коэффициента не менее 30.</w:t>
      </w:r>
    </w:p>
    <w:p w:rsidR="002A43F5" w:rsidRDefault="002A43F5" w:rsidP="002A43F5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2A43F5" w:rsidRPr="002A43F5" w:rsidRDefault="002A43F5" w:rsidP="002A43F5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2A43F5">
        <w:rPr>
          <w:color w:val="000000"/>
          <w:shd w:val="clear" w:color="auto" w:fill="FFFFFF"/>
        </w:rPr>
        <w:t>В страховой стаж будут засчитывать те же "нестраховые периоды", что и ранее, но учитываемый в стаже период ухода за детьми до достижения ими 1,5 лет в общей сложности составит 6 лет (то есть за четырех детей, а не за двух, как было раньше).</w:t>
      </w:r>
    </w:p>
    <w:p w:rsidR="000A3349" w:rsidRDefault="000A3349" w:rsidP="002A43F5">
      <w:pPr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Застрахованным лицам, которые не выработают установленных минимальных требований по назначению страховой пенсии по старости, будет назначаться социальная пенсия.</w:t>
      </w:r>
    </w:p>
    <w:p w:rsidR="000A3349" w:rsidRDefault="000A3349" w:rsidP="000A3349">
      <w:pPr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rStyle w:val="a5"/>
          <w:rFonts w:cs="Arial"/>
          <w:b w:val="0"/>
        </w:rPr>
        <w:t xml:space="preserve">Введение установленных законодательством условий </w:t>
      </w:r>
      <w:r w:rsidRPr="00C865B1">
        <w:rPr>
          <w:color w:val="000000"/>
          <w:szCs w:val="24"/>
        </w:rPr>
        <w:t>возникновения права на страховую пенсию по старости</w:t>
      </w:r>
      <w:r>
        <w:rPr>
          <w:color w:val="000000"/>
          <w:szCs w:val="24"/>
        </w:rPr>
        <w:t xml:space="preserve"> осуществляется постепенно до 2025 года (по величине минимального стажа уплаты страховых взносов с 6 до 15 лет и по величине минимального ИПК с 6,6 до 30).</w:t>
      </w:r>
    </w:p>
    <w:p w:rsidR="002A43F5" w:rsidRPr="00875526" w:rsidRDefault="002A43F5" w:rsidP="000A3349">
      <w:pPr>
        <w:spacing w:after="0" w:line="240" w:lineRule="auto"/>
        <w:ind w:firstLine="709"/>
        <w:jc w:val="both"/>
        <w:rPr>
          <w:b/>
          <w:szCs w:val="24"/>
        </w:rPr>
      </w:pPr>
    </w:p>
    <w:p w:rsidR="000A3349" w:rsidRDefault="000A3349" w:rsidP="000A3349">
      <w:pPr>
        <w:spacing w:after="0" w:line="240" w:lineRule="auto"/>
        <w:ind w:firstLine="709"/>
        <w:jc w:val="both"/>
        <w:rPr>
          <w:rStyle w:val="a5"/>
          <w:rFonts w:cs="Arial"/>
          <w:b w:val="0"/>
        </w:rPr>
      </w:pPr>
      <w:r>
        <w:rPr>
          <w:rStyle w:val="a5"/>
          <w:rFonts w:cs="Arial"/>
          <w:b w:val="0"/>
        </w:rPr>
        <w:t>В</w:t>
      </w:r>
      <w:r w:rsidRPr="00875526">
        <w:rPr>
          <w:rStyle w:val="a5"/>
          <w:rFonts w:cs="Arial"/>
          <w:b w:val="0"/>
        </w:rPr>
        <w:t xml:space="preserve"> полном объеме по новым правилам </w:t>
      </w:r>
      <w:r>
        <w:rPr>
          <w:rStyle w:val="a5"/>
          <w:rFonts w:cs="Arial"/>
          <w:b w:val="0"/>
        </w:rPr>
        <w:t>с</w:t>
      </w:r>
      <w:r w:rsidRPr="00875526">
        <w:rPr>
          <w:rStyle w:val="a5"/>
          <w:rFonts w:cs="Arial"/>
          <w:b w:val="0"/>
        </w:rPr>
        <w:t xml:space="preserve">траховая пенсия будет формироваться у граждан, которые начнут </w:t>
      </w:r>
      <w:r w:rsidR="00FF3960">
        <w:rPr>
          <w:rStyle w:val="a5"/>
          <w:rFonts w:cs="Arial"/>
          <w:b w:val="0"/>
        </w:rPr>
        <w:t>свою трудовую деятельность</w:t>
      </w:r>
      <w:r w:rsidRPr="00875526">
        <w:rPr>
          <w:rStyle w:val="a5"/>
          <w:rFonts w:cs="Arial"/>
          <w:b w:val="0"/>
        </w:rPr>
        <w:t xml:space="preserve"> в 2015 году</w:t>
      </w:r>
      <w:r>
        <w:rPr>
          <w:rStyle w:val="a5"/>
          <w:rFonts w:cs="Arial"/>
          <w:b w:val="0"/>
        </w:rPr>
        <w:t>.</w:t>
      </w:r>
    </w:p>
    <w:p w:rsidR="000A3349" w:rsidRDefault="000A3349" w:rsidP="000A3349">
      <w:pPr>
        <w:spacing w:after="0" w:line="240" w:lineRule="auto"/>
        <w:ind w:firstLine="709"/>
        <w:jc w:val="both"/>
        <w:rPr>
          <w:rStyle w:val="a5"/>
          <w:rFonts w:cs="Arial"/>
          <w:b w:val="0"/>
        </w:rPr>
      </w:pPr>
      <w:r>
        <w:rPr>
          <w:rStyle w:val="a5"/>
          <w:rFonts w:cs="Arial"/>
          <w:b w:val="0"/>
        </w:rPr>
        <w:t xml:space="preserve">Пенсионные права, </w:t>
      </w:r>
      <w:r w:rsidR="00FF3960">
        <w:rPr>
          <w:rStyle w:val="a5"/>
          <w:rFonts w:cs="Arial"/>
          <w:b w:val="0"/>
        </w:rPr>
        <w:t xml:space="preserve">уже </w:t>
      </w:r>
      <w:r>
        <w:rPr>
          <w:rStyle w:val="a5"/>
          <w:rFonts w:cs="Arial"/>
          <w:b w:val="0"/>
        </w:rPr>
        <w:t>сформированные застрахованными лицами, подлежат пересчету (конвертации) в ИПК по состоянию на 1 января 2015 года.</w:t>
      </w:r>
    </w:p>
    <w:p w:rsidR="000A3349" w:rsidRDefault="000A3349" w:rsidP="000A3349">
      <w:pPr>
        <w:spacing w:after="0" w:line="240" w:lineRule="auto"/>
        <w:ind w:firstLine="709"/>
        <w:jc w:val="both"/>
        <w:rPr>
          <w:rFonts w:eastAsia="Calibri"/>
        </w:rPr>
      </w:pPr>
      <w:r w:rsidRPr="00E505E8">
        <w:rPr>
          <w:rFonts w:eastAsia="Calibri"/>
        </w:rPr>
        <w:t>Пенсионеров, получающих трудовые пенсии, переведут на новый порядок расчета пенсии с 1 января 2015 года. Размер страховой пенсии по новым правилам не может быть меньше существующего.</w:t>
      </w:r>
    </w:p>
    <w:p w:rsidR="0098344C" w:rsidRDefault="0098344C" w:rsidP="0098344C"/>
    <w:p w:rsidR="0098344C" w:rsidRDefault="0098344C" w:rsidP="0098344C">
      <w:pPr>
        <w:spacing w:after="0" w:line="240" w:lineRule="auto"/>
        <w:ind w:firstLine="709"/>
        <w:jc w:val="both"/>
      </w:pPr>
      <w:r>
        <w:t xml:space="preserve">С целью выявления основных закономерностей новой пенсионной формулы Пенсионным фондом России разработан и опубликован на сайте ПФР </w:t>
      </w:r>
      <w:r w:rsidR="00FF3960">
        <w:t xml:space="preserve">пенсионный калькулятор </w:t>
      </w:r>
      <w:r>
        <w:t>(</w:t>
      </w:r>
      <w:hyperlink r:id="rId7" w:history="1">
        <w:r w:rsidRPr="003757A4">
          <w:rPr>
            <w:rStyle w:val="a7"/>
          </w:rPr>
          <w:t>http://www.pfrf.ru/spec/raschet_pensii/</w:t>
        </w:r>
      </w:hyperlink>
      <w:r>
        <w:t>), позволяющий осуществить расчет условного размера пенсии.</w:t>
      </w:r>
    </w:p>
    <w:p w:rsidR="0098344C" w:rsidRDefault="0098344C" w:rsidP="0098344C">
      <w:pPr>
        <w:spacing w:after="0" w:line="240" w:lineRule="auto"/>
        <w:ind w:firstLine="709"/>
        <w:jc w:val="both"/>
      </w:pPr>
      <w:r>
        <w:t xml:space="preserve">Условный расчетный размер пенсии означает, что он определен для условий 2014 года в соответствии с указанным размером официальной заработной платы, с которой уплачиваются страховые взносы в Пенсионный фонд России, а весь период формирования страховой пенсии проходит после введения в полном объеме новой пенсионной формулы. </w:t>
      </w:r>
    </w:p>
    <w:p w:rsidR="0098344C" w:rsidRDefault="0098344C" w:rsidP="0098344C">
      <w:pPr>
        <w:spacing w:after="0" w:line="240" w:lineRule="auto"/>
        <w:ind w:firstLine="709"/>
        <w:jc w:val="both"/>
      </w:pPr>
      <w:r>
        <w:t>При этом размер заработной платы и стоимость единицы пенсионного коэффициента предполагается неизменным на протяжении всего времени формирования пенсионных прав (без учета инфляции), то есть «в ценах 2014 года». В соответствии с этим размер пенс</w:t>
      </w:r>
      <w:proofErr w:type="gramStart"/>
      <w:r>
        <w:t>ии и ее</w:t>
      </w:r>
      <w:proofErr w:type="gramEnd"/>
      <w:r>
        <w:t xml:space="preserve"> соотношение с указанной заработной платой можно оценивать также относительно условий 2014 года</w:t>
      </w:r>
      <w:r w:rsidR="00FF3960">
        <w:t xml:space="preserve"> (в ценах 2014 года)</w:t>
      </w:r>
      <w:r>
        <w:t xml:space="preserve">. Это означает также, что доходность по накопительной пенсии учитывается относительно инфляции (доходность равная нулю означает доходность на уровне инфляции). </w:t>
      </w:r>
    </w:p>
    <w:p w:rsidR="0098344C" w:rsidRDefault="0098344C" w:rsidP="0098344C">
      <w:pPr>
        <w:spacing w:after="0" w:line="240" w:lineRule="auto"/>
        <w:ind w:firstLine="709"/>
        <w:jc w:val="both"/>
      </w:pPr>
      <w:r>
        <w:t xml:space="preserve">Результаты расчета носят исключительно условный характер и не должны восприниматься как реальный размер будущей пенсии. Поэтому использование </w:t>
      </w:r>
      <w:r>
        <w:lastRenderedPageBreak/>
        <w:t>калькулятора подходит в наибольшей степени для граждан, которые только начинают трудовую деятельность после 1 января 2015 года, а в полном размере – после 2020 года.</w:t>
      </w:r>
    </w:p>
    <w:p w:rsidR="0098344C" w:rsidRDefault="0098344C" w:rsidP="000A3349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256398">
        <w:rPr>
          <w:rFonts w:eastAsia="Calibri"/>
        </w:rPr>
        <w:t>с</w:t>
      </w:r>
      <w:r>
        <w:rPr>
          <w:rFonts w:eastAsia="Calibri"/>
        </w:rPr>
        <w:t>татье приведены результаты расчетов с использованием калькулятора различных вариантов формирования пенсии. Для учета влияния условий формирования накопительной части пенсии</w:t>
      </w:r>
      <w:r w:rsidR="00B078B8">
        <w:rPr>
          <w:rFonts w:eastAsia="Calibri"/>
        </w:rPr>
        <w:t xml:space="preserve">, и сравнения </w:t>
      </w:r>
      <w:r w:rsidR="00FF3960">
        <w:rPr>
          <w:rFonts w:eastAsia="Calibri"/>
        </w:rPr>
        <w:t xml:space="preserve">ее </w:t>
      </w:r>
      <w:r w:rsidR="00B078B8">
        <w:rPr>
          <w:rFonts w:eastAsia="Calibri"/>
        </w:rPr>
        <w:t xml:space="preserve">с </w:t>
      </w:r>
      <w:r>
        <w:rPr>
          <w:rFonts w:eastAsia="Calibri"/>
        </w:rPr>
        <w:t>получаемы</w:t>
      </w:r>
      <w:r w:rsidR="00B078B8">
        <w:rPr>
          <w:rFonts w:eastAsia="Calibri"/>
        </w:rPr>
        <w:t>ми</w:t>
      </w:r>
      <w:r>
        <w:rPr>
          <w:rFonts w:eastAsia="Calibri"/>
        </w:rPr>
        <w:t xml:space="preserve"> </w:t>
      </w:r>
      <w:r w:rsidR="00B078B8">
        <w:rPr>
          <w:rFonts w:eastAsia="Calibri"/>
        </w:rPr>
        <w:t xml:space="preserve">с помощью калькулятора </w:t>
      </w:r>
      <w:r>
        <w:rPr>
          <w:rFonts w:eastAsia="Calibri"/>
        </w:rPr>
        <w:t>результат</w:t>
      </w:r>
      <w:r w:rsidR="00B078B8">
        <w:rPr>
          <w:rFonts w:eastAsia="Calibri"/>
        </w:rPr>
        <w:t>ами</w:t>
      </w:r>
      <w:r>
        <w:rPr>
          <w:rFonts w:eastAsia="Calibri"/>
        </w:rPr>
        <w:t xml:space="preserve"> </w:t>
      </w:r>
      <w:r w:rsidR="00FF3960">
        <w:rPr>
          <w:rFonts w:eastAsia="Calibri"/>
        </w:rPr>
        <w:t xml:space="preserve">для </w:t>
      </w:r>
      <w:r>
        <w:rPr>
          <w:rFonts w:eastAsia="Calibri"/>
        </w:rPr>
        <w:t xml:space="preserve">определения накопительной пенсии </w:t>
      </w:r>
      <w:r w:rsidR="00B078B8">
        <w:rPr>
          <w:rFonts w:eastAsia="Calibri"/>
        </w:rPr>
        <w:t>использована отдельная модель накопительной пенсии.</w:t>
      </w:r>
    </w:p>
    <w:p w:rsidR="002F408C" w:rsidRDefault="002F408C" w:rsidP="000A3349">
      <w:pPr>
        <w:spacing w:after="0" w:line="240" w:lineRule="auto"/>
        <w:ind w:firstLine="709"/>
        <w:jc w:val="both"/>
        <w:rPr>
          <w:rFonts w:eastAsia="Calibri"/>
        </w:rPr>
      </w:pPr>
    </w:p>
    <w:p w:rsidR="002F408C" w:rsidRDefault="002F408C" w:rsidP="000A3349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 Влияние размера заработной платы и стажа</w:t>
      </w:r>
    </w:p>
    <w:p w:rsidR="002F408C" w:rsidRDefault="002F408C" w:rsidP="000A3349">
      <w:pPr>
        <w:spacing w:after="0" w:line="240" w:lineRule="auto"/>
        <w:ind w:firstLine="709"/>
        <w:jc w:val="both"/>
        <w:rPr>
          <w:rFonts w:eastAsia="Calibri"/>
        </w:rPr>
      </w:pPr>
    </w:p>
    <w:p w:rsidR="00FF3960" w:rsidRDefault="0003211E" w:rsidP="000A3349">
      <w:pPr>
        <w:spacing w:after="0" w:line="240" w:lineRule="auto"/>
        <w:ind w:firstLine="709"/>
        <w:jc w:val="both"/>
      </w:pPr>
      <w:r>
        <w:rPr>
          <w:rFonts w:eastAsia="Calibri"/>
        </w:rPr>
        <w:t xml:space="preserve">Влияние размера заработной платы на расчетный размер пенсии очевиден. До определенного размера заработной платы размер пенсии пропорционален размеру заработной платы, по достижении предельной </w:t>
      </w:r>
      <w:r w:rsidRPr="002A7EA7">
        <w:t>величин</w:t>
      </w:r>
      <w:r>
        <w:t>ы</w:t>
      </w:r>
      <w:r w:rsidRPr="002A7EA7">
        <w:t xml:space="preserve"> базы для начисления страховых взносов</w:t>
      </w:r>
      <w:r>
        <w:t xml:space="preserve"> рост ИПК и размера пенсии должен прекратиться. </w:t>
      </w:r>
    </w:p>
    <w:p w:rsidR="00483E47" w:rsidRDefault="0003211E" w:rsidP="000A3349">
      <w:pPr>
        <w:spacing w:after="0" w:line="240" w:lineRule="auto"/>
        <w:ind w:firstLine="709"/>
        <w:jc w:val="both"/>
      </w:pPr>
      <w:r>
        <w:t xml:space="preserve">В 2014 году предельная величина </w:t>
      </w:r>
      <w:r w:rsidRPr="002A7EA7">
        <w:t>базы для начисления страховых взносов</w:t>
      </w:r>
      <w:r>
        <w:t xml:space="preserve"> на ОПС составляла 624 тыс. рублей (размер зарплаты 52000 руб.), на 2015 год эта величина составит 711 тыс. рублей (зарплата 59233 руб.). Однако полученные с помощью калькулятора результаты </w:t>
      </w:r>
      <w:r w:rsidR="00CA013B">
        <w:t xml:space="preserve">(диаграмма 1) </w:t>
      </w:r>
      <w:r>
        <w:t xml:space="preserve">показывают, что </w:t>
      </w:r>
      <w:r w:rsidR="00FF3960">
        <w:t xml:space="preserve">рост размера пенсии прекращается </w:t>
      </w:r>
      <w:r>
        <w:t>при зарплате 76000 руб., что соответствует предельной величине базы 912 тыс. рублей.</w:t>
      </w:r>
      <w:r w:rsidR="00C1255A">
        <w:t xml:space="preserve"> Размер пенсии</w:t>
      </w:r>
      <w:r w:rsidR="00FF3960">
        <w:t>,</w:t>
      </w:r>
      <w:r w:rsidR="00C1255A">
        <w:t xml:space="preserve"> определ</w:t>
      </w:r>
      <w:r w:rsidR="00FF3960">
        <w:t>енной с помощью калькулятора</w:t>
      </w:r>
      <w:r w:rsidR="007D3622">
        <w:t>,</w:t>
      </w:r>
      <w:r w:rsidR="00C1255A">
        <w:t xml:space="preserve"> </w:t>
      </w:r>
      <w:r w:rsidR="00127DFB">
        <w:t>соответствует</w:t>
      </w:r>
      <w:r w:rsidR="00C1255A">
        <w:t xml:space="preserve"> стоимости единицы пенсионного коэффициента от 63,54 до 64,03, что вполне со</w:t>
      </w:r>
      <w:r w:rsidR="00127DFB">
        <w:t>поставимо</w:t>
      </w:r>
      <w:r w:rsidR="00C1255A">
        <w:t xml:space="preserve"> </w:t>
      </w:r>
      <w:r w:rsidR="00127DFB">
        <w:t xml:space="preserve">с </w:t>
      </w:r>
      <w:r w:rsidR="00C1255A">
        <w:t>величин</w:t>
      </w:r>
      <w:r w:rsidR="00127DFB">
        <w:t>ой</w:t>
      </w:r>
      <w:r w:rsidR="00C1255A">
        <w:t xml:space="preserve"> 64,1 руб., установленной с 1 января 2015 года.</w:t>
      </w:r>
    </w:p>
    <w:p w:rsidR="00CA013B" w:rsidRPr="007D3622" w:rsidRDefault="00CA013B" w:rsidP="000A3349">
      <w:pPr>
        <w:spacing w:after="0" w:line="240" w:lineRule="auto"/>
        <w:ind w:firstLine="709"/>
        <w:jc w:val="both"/>
        <w:rPr>
          <w:b/>
          <w:i/>
        </w:rPr>
      </w:pPr>
      <w:r w:rsidRPr="007D3622">
        <w:rPr>
          <w:b/>
          <w:i/>
        </w:rPr>
        <w:t xml:space="preserve">Таким образом, расчеты по пенсионному калькулятору ПФР не вполне соответствует утверждению, что </w:t>
      </w:r>
      <w:r w:rsidR="007D3622">
        <w:rPr>
          <w:b/>
          <w:i/>
        </w:rPr>
        <w:t>они делаются</w:t>
      </w:r>
      <w:r w:rsidRPr="007D3622">
        <w:rPr>
          <w:b/>
          <w:i/>
        </w:rPr>
        <w:t xml:space="preserve"> дл</w:t>
      </w:r>
      <w:r w:rsidR="007D3622" w:rsidRPr="007D3622">
        <w:rPr>
          <w:b/>
          <w:i/>
        </w:rPr>
        <w:t>я</w:t>
      </w:r>
      <w:r w:rsidRPr="007D3622">
        <w:rPr>
          <w:b/>
          <w:i/>
        </w:rPr>
        <w:t xml:space="preserve"> условий 2014 года.</w:t>
      </w:r>
    </w:p>
    <w:p w:rsidR="00CA013B" w:rsidRDefault="00CA013B" w:rsidP="000A3349">
      <w:pPr>
        <w:spacing w:after="0" w:line="240" w:lineRule="auto"/>
        <w:ind w:firstLine="709"/>
        <w:jc w:val="both"/>
      </w:pPr>
    </w:p>
    <w:p w:rsidR="00CA013B" w:rsidRDefault="00CA013B" w:rsidP="00CA013B">
      <w:pPr>
        <w:spacing w:after="0" w:line="240" w:lineRule="auto"/>
        <w:ind w:firstLine="709"/>
        <w:jc w:val="right"/>
      </w:pPr>
      <w:r>
        <w:t>Диаграмма 1</w:t>
      </w:r>
    </w:p>
    <w:p w:rsidR="00CA013B" w:rsidRDefault="00B519E9" w:rsidP="00CA013B">
      <w:pPr>
        <w:spacing w:after="0" w:line="240" w:lineRule="auto"/>
        <w:jc w:val="both"/>
      </w:pPr>
      <w:r w:rsidRPr="00B519E9">
        <w:rPr>
          <w:noProof/>
          <w:lang w:eastAsia="ru-RU"/>
        </w:rPr>
        <w:drawing>
          <wp:inline distT="0" distB="0" distL="0" distR="0">
            <wp:extent cx="5940425" cy="388282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13B" w:rsidRDefault="00CA013B" w:rsidP="000A3349">
      <w:pPr>
        <w:spacing w:after="0" w:line="240" w:lineRule="auto"/>
        <w:ind w:firstLine="709"/>
        <w:jc w:val="both"/>
      </w:pPr>
    </w:p>
    <w:p w:rsidR="00CA013B" w:rsidRDefault="00CA013B" w:rsidP="000A3349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 Парадоксы минимальных зарплат</w:t>
      </w:r>
    </w:p>
    <w:p w:rsidR="00CA013B" w:rsidRDefault="00CA013B" w:rsidP="000A3349">
      <w:pPr>
        <w:spacing w:after="0" w:line="240" w:lineRule="auto"/>
        <w:ind w:firstLine="709"/>
        <w:jc w:val="both"/>
        <w:rPr>
          <w:rFonts w:eastAsia="Calibri"/>
        </w:rPr>
      </w:pPr>
    </w:p>
    <w:p w:rsidR="00EA7131" w:rsidRDefault="00EA7131" w:rsidP="00EA7131">
      <w:pPr>
        <w:spacing w:after="0" w:line="240" w:lineRule="auto"/>
        <w:ind w:firstLine="709"/>
        <w:jc w:val="both"/>
      </w:pPr>
      <w:r>
        <w:lastRenderedPageBreak/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среднем по России составляет 5554 руб., однако пенсионный калькулятор ПФР ориентируется на</w:t>
      </w:r>
      <w:r w:rsidR="008D6EF7">
        <w:t xml:space="preserve"> зарплату не ниже </w:t>
      </w:r>
      <w:r>
        <w:t>прожиточн</w:t>
      </w:r>
      <w:r w:rsidR="008D6EF7">
        <w:t>ого</w:t>
      </w:r>
      <w:r>
        <w:t xml:space="preserve"> минимум</w:t>
      </w:r>
      <w:r w:rsidR="00256398">
        <w:t>а</w:t>
      </w:r>
      <w:r>
        <w:t xml:space="preserve"> трудоспособного населения в Российской Федерации в 2014 году (8346 руб.) и не воспринимает данные по зарплате меньше этой величины. </w:t>
      </w:r>
    </w:p>
    <w:p w:rsidR="00CA013B" w:rsidRDefault="00EA7131" w:rsidP="005A4497">
      <w:pPr>
        <w:spacing w:after="0" w:line="240" w:lineRule="auto"/>
        <w:ind w:firstLine="709"/>
        <w:jc w:val="both"/>
      </w:pPr>
      <w:r>
        <w:t>Наши оценки показывают, что п</w:t>
      </w:r>
      <w:r w:rsidR="00CA013B">
        <w:t xml:space="preserve">ри </w:t>
      </w:r>
      <w:r>
        <w:t xml:space="preserve">официальной </w:t>
      </w:r>
      <w:r w:rsidR="008D6EF7">
        <w:t>заработной плате, равной МРОТ</w:t>
      </w:r>
      <w:r w:rsidR="00127DFB">
        <w:t>,</w:t>
      </w:r>
      <w:r>
        <w:t xml:space="preserve"> </w:t>
      </w:r>
      <w:r w:rsidR="008D6EF7">
        <w:t>(</w:t>
      </w:r>
      <w:r>
        <w:t>что продолжает иметь место в практике отдельных работодателей, желающих «сэкономить» на страховых взносах</w:t>
      </w:r>
      <w:r w:rsidR="008D6EF7">
        <w:t>)</w:t>
      </w:r>
      <w:r>
        <w:t xml:space="preserve"> </w:t>
      </w:r>
      <w:r w:rsidR="00CA013B">
        <w:t xml:space="preserve">требование по минимальной величине ИПК </w:t>
      </w:r>
      <w:r w:rsidR="008D6EF7">
        <w:t>(ИПК</w:t>
      </w:r>
      <w:r w:rsidR="008D6EF7" w:rsidRPr="008D6EF7">
        <w:t>&gt;</w:t>
      </w:r>
      <w:r w:rsidR="008D6EF7">
        <w:t xml:space="preserve">30) </w:t>
      </w:r>
      <w:r w:rsidR="00CA013B">
        <w:t>может быть выполнено только при страховом стаже 28 лет (</w:t>
      </w:r>
      <w:r>
        <w:t xml:space="preserve">а </w:t>
      </w:r>
      <w:r w:rsidR="00CA013B">
        <w:t xml:space="preserve">при тарифе </w:t>
      </w:r>
      <w:r>
        <w:t xml:space="preserve">на накопительную пенсию </w:t>
      </w:r>
      <w:r w:rsidR="00CA013B">
        <w:t>6%</w:t>
      </w:r>
      <w:r>
        <w:t xml:space="preserve"> - 44 года</w:t>
      </w:r>
      <w:r w:rsidR="00CA013B">
        <w:t>).</w:t>
      </w:r>
    </w:p>
    <w:p w:rsidR="005A4497" w:rsidRDefault="00BB1838" w:rsidP="005A4497">
      <w:pPr>
        <w:spacing w:after="0" w:line="240" w:lineRule="auto"/>
        <w:ind w:firstLine="709"/>
        <w:jc w:val="both"/>
      </w:pPr>
      <w:r>
        <w:t>Совместное выполнение условий наступления права на страховую пенсию (страховой стаж</w:t>
      </w:r>
      <w:r w:rsidR="005C58BC" w:rsidRPr="005C58BC">
        <w:t xml:space="preserve"> &gt; </w:t>
      </w:r>
      <w:r w:rsidR="005C58BC">
        <w:t xml:space="preserve">15 лет и ИПК </w:t>
      </w:r>
      <w:r w:rsidR="005C58BC" w:rsidRPr="005C58BC">
        <w:t>&gt;</w:t>
      </w:r>
      <w:r w:rsidR="005C58BC">
        <w:t xml:space="preserve"> 30) </w:t>
      </w:r>
      <w:r>
        <w:t>невоз</w:t>
      </w:r>
      <w:r w:rsidR="005C58BC">
        <w:t xml:space="preserve">можно при любом уровне зарплат. </w:t>
      </w:r>
      <w:r w:rsidR="005A4497">
        <w:t>При страховом стаже 15 лет норматив по минимальной величине ИПК может быть выполнен только при заработной плате 15250 руб. (2,75 МРОТ), а при тарифе на накопительную пенсию 6% - 24400 руб. (4,4 МРОТ).</w:t>
      </w:r>
    </w:p>
    <w:p w:rsidR="00BB1838" w:rsidRDefault="005A4497" w:rsidP="005A4497">
      <w:pPr>
        <w:spacing w:after="0" w:line="240" w:lineRule="auto"/>
        <w:ind w:firstLine="709"/>
        <w:jc w:val="both"/>
      </w:pPr>
      <w:r>
        <w:t>Для других значений страхового стажа з</w:t>
      </w:r>
      <w:r w:rsidR="005C58BC">
        <w:t xml:space="preserve">начения минимального уровня зарплаты, обеспечивающего выполнение условия ИПК </w:t>
      </w:r>
      <w:r w:rsidR="005C58BC" w:rsidRPr="005C58BC">
        <w:t>&gt;</w:t>
      </w:r>
      <w:r w:rsidR="005C58BC">
        <w:t xml:space="preserve"> 30</w:t>
      </w:r>
      <w:r>
        <w:t>,</w:t>
      </w:r>
      <w:r w:rsidR="005C58BC">
        <w:t xml:space="preserve"> </w:t>
      </w:r>
      <w:r>
        <w:t xml:space="preserve">и </w:t>
      </w:r>
      <w:r w:rsidR="005C58BC">
        <w:t>при различных условиях распределения тарифа страховых взносов приведены в таблице 1.</w:t>
      </w:r>
    </w:p>
    <w:p w:rsidR="005C58BC" w:rsidRDefault="005C58BC" w:rsidP="00EA7131">
      <w:pPr>
        <w:spacing w:after="0" w:line="240" w:lineRule="auto"/>
        <w:ind w:firstLine="709"/>
        <w:jc w:val="both"/>
      </w:pPr>
    </w:p>
    <w:p w:rsidR="005C58BC" w:rsidRDefault="005C58BC" w:rsidP="005C58BC">
      <w:pPr>
        <w:spacing w:after="0" w:line="240" w:lineRule="auto"/>
        <w:ind w:firstLine="709"/>
        <w:jc w:val="right"/>
      </w:pPr>
      <w:r>
        <w:t>Таблица 1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31"/>
        <w:gridCol w:w="1134"/>
        <w:gridCol w:w="1275"/>
        <w:gridCol w:w="1134"/>
        <w:gridCol w:w="1057"/>
        <w:gridCol w:w="1169"/>
        <w:gridCol w:w="1229"/>
      </w:tblGrid>
      <w:tr w:rsidR="00BB1838" w:rsidRPr="00930827" w:rsidTr="00D21562">
        <w:trPr>
          <w:trHeight w:val="300"/>
        </w:trPr>
        <w:tc>
          <w:tcPr>
            <w:tcW w:w="2749" w:type="dxa"/>
            <w:gridSpan w:val="2"/>
            <w:shd w:val="clear" w:color="auto" w:fill="auto"/>
            <w:noWrap/>
            <w:vAlign w:val="center"/>
            <w:hideMark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Страховой стаж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57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69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229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BB1838" w:rsidRPr="00930827" w:rsidTr="00D2156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Тариф НП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B1838" w:rsidRPr="00930827" w:rsidTr="00D21562">
        <w:trPr>
          <w:trHeight w:val="30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Зарплата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(ИПК=</w:t>
            </w: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31" w:type="dxa"/>
            <w:vAlign w:val="center"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9150</w:t>
            </w:r>
          </w:p>
        </w:tc>
        <w:tc>
          <w:tcPr>
            <w:tcW w:w="1057" w:type="dxa"/>
            <w:vAlign w:val="center"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169" w:type="dxa"/>
            <w:vAlign w:val="center"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29" w:type="dxa"/>
            <w:vAlign w:val="center"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</w:t>
            </w:r>
          </w:p>
        </w:tc>
      </w:tr>
      <w:tr w:rsidR="00BB1838" w:rsidRPr="00930827" w:rsidTr="00D21562">
        <w:trPr>
          <w:trHeight w:val="300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1838" w:rsidRPr="00930827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14650</w:t>
            </w:r>
          </w:p>
        </w:tc>
        <w:tc>
          <w:tcPr>
            <w:tcW w:w="1057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12200</w:t>
            </w:r>
          </w:p>
        </w:tc>
        <w:tc>
          <w:tcPr>
            <w:tcW w:w="1169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10450</w:t>
            </w:r>
          </w:p>
        </w:tc>
        <w:tc>
          <w:tcPr>
            <w:tcW w:w="1229" w:type="dxa"/>
            <w:vAlign w:val="center"/>
          </w:tcPr>
          <w:p w:rsidR="00BB1838" w:rsidRDefault="00BB1838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9150</w:t>
            </w:r>
          </w:p>
        </w:tc>
      </w:tr>
    </w:tbl>
    <w:p w:rsidR="00D05630" w:rsidRDefault="00D05630" w:rsidP="00D05630">
      <w:pPr>
        <w:spacing w:after="0" w:line="240" w:lineRule="auto"/>
        <w:ind w:firstLine="709"/>
        <w:rPr>
          <w:szCs w:val="24"/>
        </w:rPr>
      </w:pPr>
    </w:p>
    <w:p w:rsidR="00BB1838" w:rsidRDefault="00BB1838" w:rsidP="00D05630">
      <w:pPr>
        <w:spacing w:after="0" w:line="240" w:lineRule="auto"/>
        <w:ind w:firstLine="709"/>
        <w:rPr>
          <w:szCs w:val="24"/>
        </w:rPr>
      </w:pPr>
      <w:proofErr w:type="gramStart"/>
      <w:r>
        <w:rPr>
          <w:szCs w:val="24"/>
        </w:rPr>
        <w:t>*)  Пенсионный калькулятор ПФР не настроен на зарплаты менее 8346 руб.</w:t>
      </w:r>
      <w:proofErr w:type="gramEnd"/>
    </w:p>
    <w:p w:rsidR="00BB1838" w:rsidRDefault="00BB1838" w:rsidP="00D05630">
      <w:pPr>
        <w:spacing w:after="0" w:line="240" w:lineRule="auto"/>
        <w:ind w:firstLine="709"/>
        <w:jc w:val="both"/>
      </w:pPr>
    </w:p>
    <w:p w:rsidR="00D05630" w:rsidRDefault="005A4497" w:rsidP="00D05630">
      <w:pPr>
        <w:spacing w:after="0" w:line="240" w:lineRule="auto"/>
        <w:ind w:firstLine="709"/>
        <w:jc w:val="both"/>
      </w:pPr>
      <w:r>
        <w:t>В соответствии с Федеральным законом «Об обязательном пенсионном страховании» з</w:t>
      </w:r>
      <w:r w:rsidR="00D05630">
        <w:t>астрахованным лицам, которые не выполнили условие по минимальному размеру ИПК</w:t>
      </w:r>
      <w:r>
        <w:t>,</w:t>
      </w:r>
      <w:r w:rsidR="00D05630">
        <w:t xml:space="preserve"> назначается социальная пенсия. </w:t>
      </w:r>
    </w:p>
    <w:p w:rsidR="00CA013B" w:rsidRDefault="005A4497" w:rsidP="00D05630">
      <w:pPr>
        <w:spacing w:after="0" w:line="240" w:lineRule="auto"/>
        <w:ind w:firstLine="709"/>
        <w:jc w:val="both"/>
      </w:pPr>
      <w:r>
        <w:t>Размер страховой пенсии п</w:t>
      </w:r>
      <w:r w:rsidR="00CA013B">
        <w:t>ри минимальной величине ИП</w:t>
      </w:r>
      <w:r w:rsidR="00D05630">
        <w:t xml:space="preserve">К </w:t>
      </w:r>
      <w:r w:rsidR="00127DFB">
        <w:t xml:space="preserve">равной 30, </w:t>
      </w:r>
      <w:r w:rsidR="00D05630">
        <w:t>с учетом стоимости единицы пенсионного коэффициента в 2015 году (64 руб. 10 коп</w:t>
      </w:r>
      <w:proofErr w:type="gramStart"/>
      <w:r w:rsidR="00D05630">
        <w:t>.</w:t>
      </w:r>
      <w:proofErr w:type="gramEnd"/>
      <w:r w:rsidR="00D05630">
        <w:t xml:space="preserve"> </w:t>
      </w:r>
      <w:proofErr w:type="gramStart"/>
      <w:r w:rsidR="00127DFB">
        <w:t>в</w:t>
      </w:r>
      <w:proofErr w:type="gramEnd"/>
      <w:r w:rsidR="00127DFB">
        <w:t xml:space="preserve"> соответствии с </w:t>
      </w:r>
      <w:r w:rsidR="00CA013B">
        <w:t xml:space="preserve"> 400-ФЗ</w:t>
      </w:r>
      <w:r w:rsidR="00D05630">
        <w:t>)</w:t>
      </w:r>
      <w:r w:rsidR="00CA013B">
        <w:t xml:space="preserve"> </w:t>
      </w:r>
      <w:r w:rsidR="00D05630">
        <w:t>и</w:t>
      </w:r>
      <w:r w:rsidR="00CA013B">
        <w:t xml:space="preserve"> </w:t>
      </w:r>
      <w:r w:rsidR="00127DFB">
        <w:t xml:space="preserve">размера </w:t>
      </w:r>
      <w:r w:rsidR="00CA013B">
        <w:t>фиксированной выплаты к страховой пенсии</w:t>
      </w:r>
      <w:r w:rsidR="00CA013B" w:rsidRPr="001371F1">
        <w:t xml:space="preserve"> </w:t>
      </w:r>
      <w:r w:rsidR="00D05630">
        <w:t>(</w:t>
      </w:r>
      <w:r w:rsidR="00CA013B">
        <w:t>по</w:t>
      </w:r>
      <w:r w:rsidR="00D05630">
        <w:t xml:space="preserve"> 400-ФЗ</w:t>
      </w:r>
      <w:r w:rsidR="00CA013B">
        <w:t xml:space="preserve"> </w:t>
      </w:r>
      <w:r w:rsidR="00D05630">
        <w:t xml:space="preserve">- </w:t>
      </w:r>
      <w:r w:rsidR="00CA013B">
        <w:t xml:space="preserve">3935 руб.) </w:t>
      </w:r>
      <w:r w:rsidR="00D05630">
        <w:t>размер пенсии составит</w:t>
      </w:r>
      <w:r w:rsidR="00CA013B">
        <w:t xml:space="preserve"> 5858 руб.</w:t>
      </w:r>
      <w:r w:rsidR="00D05630">
        <w:t xml:space="preserve"> В то же время, застрахованное лицо, размер ИПК которого меньше 30 получит </w:t>
      </w:r>
      <w:r w:rsidR="00CA013B">
        <w:t>социальн</w:t>
      </w:r>
      <w:r w:rsidR="00D05630">
        <w:t>ую</w:t>
      </w:r>
      <w:r w:rsidR="00CA013B">
        <w:t xml:space="preserve"> пенси</w:t>
      </w:r>
      <w:r w:rsidR="00D05630">
        <w:t>ю в размере</w:t>
      </w:r>
      <w:r w:rsidR="00CA013B">
        <w:t xml:space="preserve"> 7578 руб.</w:t>
      </w:r>
      <w:r w:rsidR="00D05630">
        <w:t xml:space="preserve"> (по нормам 2015 года).</w:t>
      </w:r>
    </w:p>
    <w:p w:rsidR="00127DFB" w:rsidRDefault="00127DFB" w:rsidP="00D05630">
      <w:pPr>
        <w:spacing w:after="0" w:line="240" w:lineRule="auto"/>
        <w:ind w:firstLine="709"/>
        <w:jc w:val="both"/>
      </w:pPr>
      <w:r>
        <w:t xml:space="preserve">Это </w:t>
      </w:r>
      <w:r w:rsidR="00256398">
        <w:t xml:space="preserve">обстоятельство </w:t>
      </w:r>
      <w:r>
        <w:t xml:space="preserve">является </w:t>
      </w:r>
      <w:r w:rsidR="00256398">
        <w:t xml:space="preserve">серьезным дефектом </w:t>
      </w:r>
      <w:r>
        <w:t xml:space="preserve">новой пенсионной формулы, когда </w:t>
      </w:r>
      <w:r w:rsidRPr="00127DFB">
        <w:rPr>
          <w:b/>
          <w:i/>
        </w:rPr>
        <w:t>заработанная застрахованным лицом пенсия оказывается меньше размера пенсии, не заработанной</w:t>
      </w:r>
      <w:r>
        <w:t xml:space="preserve"> в тех же условиях.</w:t>
      </w:r>
    </w:p>
    <w:p w:rsidR="00CA013B" w:rsidRDefault="00CA013B" w:rsidP="00D05630">
      <w:pPr>
        <w:spacing w:after="0" w:line="240" w:lineRule="auto"/>
        <w:ind w:firstLine="709"/>
        <w:jc w:val="both"/>
        <w:rPr>
          <w:rFonts w:eastAsia="Calibri"/>
        </w:rPr>
      </w:pPr>
    </w:p>
    <w:p w:rsidR="0075710E" w:rsidRDefault="0075710E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 Вопросы пенсии среднеоплачиваемых работников.</w:t>
      </w:r>
    </w:p>
    <w:p w:rsidR="0075710E" w:rsidRDefault="0075710E" w:rsidP="00D05630">
      <w:pPr>
        <w:spacing w:after="0" w:line="240" w:lineRule="auto"/>
        <w:ind w:firstLine="709"/>
        <w:jc w:val="both"/>
        <w:rPr>
          <w:rFonts w:eastAsia="Calibri"/>
        </w:rPr>
      </w:pPr>
    </w:p>
    <w:p w:rsidR="0075710E" w:rsidRDefault="0075710E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Влияние различных параметров на размер пенсии удобно рассматривать для работников, получающих средний размер заработной платы.</w:t>
      </w:r>
    </w:p>
    <w:p w:rsidR="0075710E" w:rsidRDefault="0075710E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качестве </w:t>
      </w:r>
      <w:proofErr w:type="gramStart"/>
      <w:r>
        <w:rPr>
          <w:rFonts w:eastAsia="Calibri"/>
        </w:rPr>
        <w:t>нормативных</w:t>
      </w:r>
      <w:proofErr w:type="gramEnd"/>
      <w:r>
        <w:rPr>
          <w:rFonts w:eastAsia="Calibri"/>
        </w:rPr>
        <w:t xml:space="preserve"> приняты следующие</w:t>
      </w:r>
      <w:r w:rsidR="00E55417">
        <w:rPr>
          <w:rFonts w:eastAsia="Calibri"/>
        </w:rPr>
        <w:t xml:space="preserve"> примеры</w:t>
      </w:r>
      <w:r>
        <w:rPr>
          <w:rFonts w:eastAsia="Calibri"/>
        </w:rPr>
        <w:t>:</w:t>
      </w:r>
    </w:p>
    <w:p w:rsidR="0075710E" w:rsidRPr="00E55417" w:rsidRDefault="0075710E" w:rsidP="00E55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5417">
        <w:rPr>
          <w:rFonts w:ascii="Times New Roman" w:eastAsia="Calibri" w:hAnsi="Times New Roman" w:cs="Times New Roman"/>
        </w:rPr>
        <w:t>мужчина, имеющий 35 лет страхового стажа, выходящий на пенсию в 60 лет;</w:t>
      </w:r>
    </w:p>
    <w:p w:rsidR="0075710E" w:rsidRPr="00E55417" w:rsidRDefault="0075710E" w:rsidP="00E554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5417">
        <w:rPr>
          <w:rFonts w:ascii="Times New Roman" w:eastAsia="Calibri" w:hAnsi="Times New Roman" w:cs="Times New Roman"/>
        </w:rPr>
        <w:t>женщина, имеющ</w:t>
      </w:r>
      <w:r w:rsidR="00E55417">
        <w:rPr>
          <w:rFonts w:ascii="Times New Roman" w:eastAsia="Calibri" w:hAnsi="Times New Roman" w:cs="Times New Roman"/>
        </w:rPr>
        <w:t>ая</w:t>
      </w:r>
      <w:r w:rsidRPr="00E55417">
        <w:rPr>
          <w:rFonts w:ascii="Times New Roman" w:eastAsia="Calibri" w:hAnsi="Times New Roman" w:cs="Times New Roman"/>
        </w:rPr>
        <w:t xml:space="preserve"> 30 лет страхового стажа</w:t>
      </w:r>
      <w:r w:rsidR="00E55417">
        <w:rPr>
          <w:rFonts w:ascii="Times New Roman" w:eastAsia="Calibri" w:hAnsi="Times New Roman" w:cs="Times New Roman"/>
        </w:rPr>
        <w:t xml:space="preserve"> и</w:t>
      </w:r>
      <w:r w:rsidRPr="00E55417">
        <w:rPr>
          <w:rFonts w:ascii="Times New Roman" w:hAnsi="Times New Roman" w:cs="Times New Roman"/>
        </w:rPr>
        <w:t xml:space="preserve"> 2</w:t>
      </w:r>
      <w:r w:rsidR="00256398">
        <w:rPr>
          <w:rFonts w:ascii="Times New Roman" w:hAnsi="Times New Roman" w:cs="Times New Roman"/>
        </w:rPr>
        <w:t>-х</w:t>
      </w:r>
      <w:r w:rsidRPr="00E55417">
        <w:rPr>
          <w:rFonts w:ascii="Times New Roman" w:hAnsi="Times New Roman" w:cs="Times New Roman"/>
        </w:rPr>
        <w:t xml:space="preserve"> детей, с каждым из которых она по 2 года находилась в декретно</w:t>
      </w:r>
      <w:r w:rsidR="00D21562" w:rsidRPr="00E55417">
        <w:rPr>
          <w:rFonts w:ascii="Times New Roman" w:hAnsi="Times New Roman" w:cs="Times New Roman"/>
        </w:rPr>
        <w:t>м</w:t>
      </w:r>
      <w:r w:rsidRPr="00E55417">
        <w:rPr>
          <w:rFonts w:ascii="Times New Roman" w:hAnsi="Times New Roman" w:cs="Times New Roman"/>
        </w:rPr>
        <w:t xml:space="preserve"> отпуске</w:t>
      </w:r>
      <w:r w:rsidR="00D21562" w:rsidRPr="00E55417">
        <w:rPr>
          <w:rFonts w:ascii="Times New Roman" w:hAnsi="Times New Roman" w:cs="Times New Roman"/>
        </w:rPr>
        <w:t>.</w:t>
      </w:r>
    </w:p>
    <w:p w:rsidR="0075710E" w:rsidRDefault="0075710E" w:rsidP="00D05630">
      <w:pPr>
        <w:spacing w:after="0" w:line="240" w:lineRule="auto"/>
        <w:ind w:firstLine="709"/>
        <w:jc w:val="both"/>
        <w:rPr>
          <w:rFonts w:eastAsia="Calibri"/>
        </w:rPr>
      </w:pPr>
    </w:p>
    <w:p w:rsidR="00D21562" w:rsidRDefault="00D21562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Калькулятор ПФР определяет для этих примеров следующие размеры пенсий</w:t>
      </w:r>
      <w:r w:rsidR="00BE4BFF">
        <w:rPr>
          <w:rFonts w:eastAsia="Calibri"/>
        </w:rPr>
        <w:t xml:space="preserve"> (таблицы 2 и 3)</w:t>
      </w:r>
      <w:r>
        <w:rPr>
          <w:rFonts w:eastAsia="Calibri"/>
        </w:rPr>
        <w:t>:</w:t>
      </w:r>
    </w:p>
    <w:p w:rsidR="00E55417" w:rsidRDefault="00E55417" w:rsidP="00D05630">
      <w:pPr>
        <w:spacing w:after="0" w:line="240" w:lineRule="auto"/>
        <w:ind w:firstLine="709"/>
        <w:jc w:val="both"/>
        <w:rPr>
          <w:rFonts w:eastAsia="Calibri"/>
        </w:rPr>
      </w:pPr>
    </w:p>
    <w:p w:rsidR="00D21562" w:rsidRDefault="00D21562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Для мужчин</w:t>
      </w:r>
    </w:p>
    <w:p w:rsidR="00D21562" w:rsidRDefault="00BE4BFF" w:rsidP="00BE4BFF">
      <w:pPr>
        <w:spacing w:after="0" w:line="240" w:lineRule="auto"/>
        <w:ind w:firstLine="709"/>
        <w:jc w:val="right"/>
        <w:rPr>
          <w:rFonts w:eastAsia="Calibri"/>
        </w:rPr>
      </w:pPr>
      <w:r>
        <w:rPr>
          <w:rFonts w:eastAsia="Calibri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49"/>
        <w:gridCol w:w="1581"/>
        <w:gridCol w:w="1575"/>
        <w:gridCol w:w="1776"/>
        <w:gridCol w:w="1542"/>
      </w:tblGrid>
      <w:tr w:rsidR="00D21562" w:rsidTr="00D21562">
        <w:tc>
          <w:tcPr>
            <w:tcW w:w="1595" w:type="dxa"/>
          </w:tcPr>
          <w:p w:rsidR="00D21562" w:rsidRDefault="00D21562" w:rsidP="00D21562">
            <w:r>
              <w:t>Тариф НП</w:t>
            </w:r>
          </w:p>
        </w:tc>
        <w:tc>
          <w:tcPr>
            <w:tcW w:w="1595" w:type="dxa"/>
          </w:tcPr>
          <w:p w:rsidR="00D21562" w:rsidRDefault="00D21562" w:rsidP="00D21562">
            <w:r>
              <w:t>ИПК</w:t>
            </w:r>
          </w:p>
        </w:tc>
        <w:tc>
          <w:tcPr>
            <w:tcW w:w="1595" w:type="dxa"/>
          </w:tcPr>
          <w:p w:rsidR="00D21562" w:rsidRDefault="00D21562" w:rsidP="00D21562">
            <w:r>
              <w:t>Суммарная пенсия</w:t>
            </w:r>
          </w:p>
        </w:tc>
        <w:tc>
          <w:tcPr>
            <w:tcW w:w="1595" w:type="dxa"/>
          </w:tcPr>
          <w:p w:rsidR="00D21562" w:rsidRDefault="00D21562" w:rsidP="00D21562">
            <w:r>
              <w:t xml:space="preserve">Страховая пенсия </w:t>
            </w:r>
          </w:p>
        </w:tc>
        <w:tc>
          <w:tcPr>
            <w:tcW w:w="1595" w:type="dxa"/>
          </w:tcPr>
          <w:p w:rsidR="00D21562" w:rsidRDefault="00D21562" w:rsidP="00D21562">
            <w:r>
              <w:t>Накопительная пенсия</w:t>
            </w:r>
          </w:p>
        </w:tc>
        <w:tc>
          <w:tcPr>
            <w:tcW w:w="1596" w:type="dxa"/>
          </w:tcPr>
          <w:p w:rsidR="00D21562" w:rsidRDefault="00D21562" w:rsidP="00D21562">
            <w:r>
              <w:t>СПК</w:t>
            </w:r>
          </w:p>
        </w:tc>
      </w:tr>
      <w:tr w:rsidR="00D21562" w:rsidTr="00D21562">
        <w:tc>
          <w:tcPr>
            <w:tcW w:w="1595" w:type="dxa"/>
          </w:tcPr>
          <w:p w:rsidR="00D21562" w:rsidRDefault="00D21562" w:rsidP="00D21562">
            <w:r>
              <w:t>0%</w:t>
            </w:r>
          </w:p>
        </w:tc>
        <w:tc>
          <w:tcPr>
            <w:tcW w:w="1595" w:type="dxa"/>
          </w:tcPr>
          <w:p w:rsidR="00D21562" w:rsidRDefault="00D21562" w:rsidP="00D21562">
            <w:r>
              <w:t>160,89</w:t>
            </w:r>
          </w:p>
        </w:tc>
        <w:tc>
          <w:tcPr>
            <w:tcW w:w="1595" w:type="dxa"/>
          </w:tcPr>
          <w:p w:rsidR="00D21562" w:rsidRDefault="00D21562" w:rsidP="00D21562">
            <w:r>
              <w:t>14223</w:t>
            </w:r>
          </w:p>
        </w:tc>
        <w:tc>
          <w:tcPr>
            <w:tcW w:w="1595" w:type="dxa"/>
          </w:tcPr>
          <w:p w:rsidR="00D21562" w:rsidRDefault="00D21562" w:rsidP="00D21562">
            <w:r>
              <w:t>14223</w:t>
            </w:r>
          </w:p>
        </w:tc>
        <w:tc>
          <w:tcPr>
            <w:tcW w:w="1595" w:type="dxa"/>
          </w:tcPr>
          <w:p w:rsidR="00D21562" w:rsidRDefault="00D21562" w:rsidP="00D21562">
            <w:r>
              <w:t>0</w:t>
            </w:r>
          </w:p>
        </w:tc>
        <w:tc>
          <w:tcPr>
            <w:tcW w:w="1596" w:type="dxa"/>
          </w:tcPr>
          <w:p w:rsidR="00D21562" w:rsidRDefault="00D21562" w:rsidP="00D21562">
            <w:r>
              <w:t>63,94</w:t>
            </w:r>
          </w:p>
        </w:tc>
      </w:tr>
      <w:tr w:rsidR="00D21562" w:rsidTr="00D21562">
        <w:tc>
          <w:tcPr>
            <w:tcW w:w="1595" w:type="dxa"/>
          </w:tcPr>
          <w:p w:rsidR="00D21562" w:rsidRDefault="00D21562" w:rsidP="00D21562">
            <w:r>
              <w:t>6%</w:t>
            </w:r>
          </w:p>
        </w:tc>
        <w:tc>
          <w:tcPr>
            <w:tcW w:w="1595" w:type="dxa"/>
          </w:tcPr>
          <w:p w:rsidR="00D21562" w:rsidRDefault="00D21562" w:rsidP="00D21562">
            <w:r>
              <w:t>100,56</w:t>
            </w:r>
          </w:p>
        </w:tc>
        <w:tc>
          <w:tcPr>
            <w:tcW w:w="1595" w:type="dxa"/>
          </w:tcPr>
          <w:p w:rsidR="00D21562" w:rsidRDefault="00D21562" w:rsidP="00D21562">
            <w:r>
              <w:t>14224</w:t>
            </w:r>
          </w:p>
        </w:tc>
        <w:tc>
          <w:tcPr>
            <w:tcW w:w="1595" w:type="dxa"/>
          </w:tcPr>
          <w:p w:rsidR="00D21562" w:rsidRDefault="00D21562" w:rsidP="00D21562">
            <w:r>
              <w:t>10356</w:t>
            </w:r>
          </w:p>
        </w:tc>
        <w:tc>
          <w:tcPr>
            <w:tcW w:w="1595" w:type="dxa"/>
          </w:tcPr>
          <w:p w:rsidR="00D21562" w:rsidRDefault="00D21562" w:rsidP="00D21562">
            <w:r>
              <w:t>3818</w:t>
            </w:r>
          </w:p>
        </w:tc>
        <w:tc>
          <w:tcPr>
            <w:tcW w:w="1596" w:type="dxa"/>
          </w:tcPr>
          <w:p w:rsidR="00D21562" w:rsidRDefault="00D21562" w:rsidP="00D21562">
            <w:r>
              <w:t>63,85</w:t>
            </w:r>
          </w:p>
        </w:tc>
      </w:tr>
    </w:tbl>
    <w:p w:rsidR="0075710E" w:rsidRDefault="0075710E" w:rsidP="0075710E"/>
    <w:p w:rsidR="00D21562" w:rsidRDefault="00D21562" w:rsidP="00D21562">
      <w:pPr>
        <w:spacing w:after="0" w:line="240" w:lineRule="auto"/>
        <w:ind w:firstLine="709"/>
      </w:pPr>
      <w:r>
        <w:t>Для женщин</w:t>
      </w:r>
    </w:p>
    <w:p w:rsidR="00D21562" w:rsidRDefault="00BE4BFF" w:rsidP="00BE4BFF">
      <w:pPr>
        <w:spacing w:after="0" w:line="240" w:lineRule="auto"/>
        <w:ind w:firstLine="709"/>
        <w:jc w:val="right"/>
      </w:pPr>
      <w: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549"/>
        <w:gridCol w:w="1581"/>
        <w:gridCol w:w="1575"/>
        <w:gridCol w:w="1776"/>
        <w:gridCol w:w="1542"/>
      </w:tblGrid>
      <w:tr w:rsidR="00D21562" w:rsidTr="00D21562">
        <w:tc>
          <w:tcPr>
            <w:tcW w:w="1595" w:type="dxa"/>
          </w:tcPr>
          <w:p w:rsidR="00D21562" w:rsidRDefault="00D21562" w:rsidP="00D21562">
            <w:r>
              <w:t>Тариф НП</w:t>
            </w:r>
          </w:p>
        </w:tc>
        <w:tc>
          <w:tcPr>
            <w:tcW w:w="1595" w:type="dxa"/>
          </w:tcPr>
          <w:p w:rsidR="00D21562" w:rsidRDefault="00D21562" w:rsidP="00D21562">
            <w:r>
              <w:t>ИПК</w:t>
            </w:r>
          </w:p>
        </w:tc>
        <w:tc>
          <w:tcPr>
            <w:tcW w:w="1595" w:type="dxa"/>
          </w:tcPr>
          <w:p w:rsidR="00D21562" w:rsidRDefault="00D21562" w:rsidP="00D21562">
            <w:r>
              <w:t>Суммарная пенсия</w:t>
            </w:r>
          </w:p>
        </w:tc>
        <w:tc>
          <w:tcPr>
            <w:tcW w:w="1595" w:type="dxa"/>
          </w:tcPr>
          <w:p w:rsidR="00D21562" w:rsidRDefault="00D21562" w:rsidP="00D21562">
            <w:r>
              <w:t xml:space="preserve">Страховая пенсия </w:t>
            </w:r>
          </w:p>
        </w:tc>
        <w:tc>
          <w:tcPr>
            <w:tcW w:w="1595" w:type="dxa"/>
          </w:tcPr>
          <w:p w:rsidR="00D21562" w:rsidRDefault="00D21562" w:rsidP="00D21562">
            <w:r>
              <w:t>Накопительная пенсия</w:t>
            </w:r>
          </w:p>
        </w:tc>
        <w:tc>
          <w:tcPr>
            <w:tcW w:w="1596" w:type="dxa"/>
          </w:tcPr>
          <w:p w:rsidR="00D21562" w:rsidRDefault="00D21562" w:rsidP="00D21562">
            <w:r>
              <w:t>СПК</w:t>
            </w:r>
          </w:p>
        </w:tc>
      </w:tr>
      <w:tr w:rsidR="00D21562" w:rsidTr="00D21562">
        <w:tc>
          <w:tcPr>
            <w:tcW w:w="1595" w:type="dxa"/>
          </w:tcPr>
          <w:p w:rsidR="00D21562" w:rsidRDefault="00D21562" w:rsidP="00D21562">
            <w:r>
              <w:t>0%</w:t>
            </w:r>
          </w:p>
        </w:tc>
        <w:tc>
          <w:tcPr>
            <w:tcW w:w="1595" w:type="dxa"/>
          </w:tcPr>
          <w:p w:rsidR="00D21562" w:rsidRDefault="00D21562" w:rsidP="00D21562">
            <w:r>
              <w:t>146,01</w:t>
            </w:r>
          </w:p>
        </w:tc>
        <w:tc>
          <w:tcPr>
            <w:tcW w:w="1595" w:type="dxa"/>
          </w:tcPr>
          <w:p w:rsidR="00D21562" w:rsidRDefault="00D21562" w:rsidP="00D21562">
            <w:r>
              <w:t>13269,3</w:t>
            </w:r>
          </w:p>
        </w:tc>
        <w:tc>
          <w:tcPr>
            <w:tcW w:w="1595" w:type="dxa"/>
          </w:tcPr>
          <w:p w:rsidR="00D21562" w:rsidRDefault="00D21562" w:rsidP="00D21562">
            <w:r>
              <w:t>13269,3</w:t>
            </w:r>
          </w:p>
        </w:tc>
        <w:tc>
          <w:tcPr>
            <w:tcW w:w="1595" w:type="dxa"/>
          </w:tcPr>
          <w:p w:rsidR="00D21562" w:rsidRDefault="00D21562" w:rsidP="00D21562">
            <w:r>
              <w:t>0</w:t>
            </w:r>
          </w:p>
        </w:tc>
        <w:tc>
          <w:tcPr>
            <w:tcW w:w="1596" w:type="dxa"/>
          </w:tcPr>
          <w:p w:rsidR="00D21562" w:rsidRDefault="00D21562" w:rsidP="00D21562">
            <w:r>
              <w:t>63,93</w:t>
            </w:r>
          </w:p>
        </w:tc>
      </w:tr>
      <w:tr w:rsidR="00D21562" w:rsidTr="00D21562">
        <w:tc>
          <w:tcPr>
            <w:tcW w:w="1595" w:type="dxa"/>
          </w:tcPr>
          <w:p w:rsidR="00D21562" w:rsidRDefault="00D21562" w:rsidP="00D21562">
            <w:r>
              <w:t>6%</w:t>
            </w:r>
          </w:p>
        </w:tc>
        <w:tc>
          <w:tcPr>
            <w:tcW w:w="1595" w:type="dxa"/>
          </w:tcPr>
          <w:p w:rsidR="00D21562" w:rsidRDefault="00D21562" w:rsidP="00D21562">
            <w:r>
              <w:t>94,29</w:t>
            </w:r>
          </w:p>
        </w:tc>
        <w:tc>
          <w:tcPr>
            <w:tcW w:w="1595" w:type="dxa"/>
          </w:tcPr>
          <w:p w:rsidR="00D21562" w:rsidRDefault="00D21562" w:rsidP="00D21562">
            <w:r>
              <w:t>13270,2</w:t>
            </w:r>
          </w:p>
        </w:tc>
        <w:tc>
          <w:tcPr>
            <w:tcW w:w="1595" w:type="dxa"/>
          </w:tcPr>
          <w:p w:rsidR="00D21562" w:rsidRDefault="00D21562" w:rsidP="00D21562">
            <w:r>
              <w:t>9954,4</w:t>
            </w:r>
          </w:p>
        </w:tc>
        <w:tc>
          <w:tcPr>
            <w:tcW w:w="1595" w:type="dxa"/>
          </w:tcPr>
          <w:p w:rsidR="00D21562" w:rsidRDefault="00D21562" w:rsidP="00D21562">
            <w:r>
              <w:t>3315,8</w:t>
            </w:r>
          </w:p>
        </w:tc>
        <w:tc>
          <w:tcPr>
            <w:tcW w:w="1596" w:type="dxa"/>
          </w:tcPr>
          <w:p w:rsidR="00D21562" w:rsidRDefault="00D21562" w:rsidP="00D21562">
            <w:r>
              <w:t>63,84</w:t>
            </w:r>
          </w:p>
        </w:tc>
      </w:tr>
    </w:tbl>
    <w:p w:rsidR="0075710E" w:rsidRDefault="0075710E" w:rsidP="00D21562">
      <w:pPr>
        <w:spacing w:after="0" w:line="240" w:lineRule="auto"/>
        <w:ind w:firstLine="709"/>
      </w:pPr>
    </w:p>
    <w:p w:rsidR="00D21562" w:rsidRDefault="00D21562" w:rsidP="00E55417">
      <w:pPr>
        <w:spacing w:after="0" w:line="240" w:lineRule="auto"/>
        <w:ind w:firstLine="709"/>
        <w:jc w:val="both"/>
      </w:pPr>
      <w:r>
        <w:t>В полученных результатах привлекают внимание два обстоятельства.</w:t>
      </w:r>
    </w:p>
    <w:p w:rsidR="00D21562" w:rsidRDefault="00E55417" w:rsidP="00E55417">
      <w:pPr>
        <w:spacing w:after="0" w:line="240" w:lineRule="auto"/>
        <w:ind w:firstLine="709"/>
        <w:jc w:val="both"/>
      </w:pPr>
      <w:r>
        <w:t xml:space="preserve">1. </w:t>
      </w:r>
      <w:r w:rsidR="00D21562">
        <w:t>При страховом стаже 35 лет наибольшая величина индивидуального пенсионного коэффициента составляет 350 (по 10 за каждый год стажа</w:t>
      </w:r>
      <w:r w:rsidR="00DD44E7">
        <w:t>)</w:t>
      </w:r>
      <w:r w:rsidR="00D21562">
        <w:t xml:space="preserve">. </w:t>
      </w:r>
      <w:r w:rsidR="00DD44E7">
        <w:t>Средняя заработная плата 35000 рублей меньше предельной базы для исчисления страховых взносов в 1,48 раза или в 1,7 раза (для условий 2014 года 2015 года соответственно</w:t>
      </w:r>
      <w:r w:rsidR="00481781">
        <w:t>)</w:t>
      </w:r>
      <w:r w:rsidR="00DD44E7">
        <w:t>, однако значение ИПК меньше предельного в 2,18 раза для мужчин и в 2,11 раза для женщин.</w:t>
      </w:r>
    </w:p>
    <w:p w:rsidR="00330FFE" w:rsidRDefault="00E55417" w:rsidP="00E55417">
      <w:pPr>
        <w:spacing w:after="0" w:line="240" w:lineRule="auto"/>
        <w:ind w:firstLine="709"/>
        <w:jc w:val="both"/>
      </w:pPr>
      <w:r>
        <w:t>Э</w:t>
      </w:r>
      <w:r w:rsidR="00330FFE">
        <w:t xml:space="preserve">то несоответствие </w:t>
      </w:r>
      <w:r>
        <w:t xml:space="preserve">является следствием </w:t>
      </w:r>
      <w:r w:rsidR="00330FFE">
        <w:t>ранее упомянут</w:t>
      </w:r>
      <w:r>
        <w:t>ой</w:t>
      </w:r>
      <w:r w:rsidR="00330FFE">
        <w:t xml:space="preserve"> предельн</w:t>
      </w:r>
      <w:r>
        <w:t>ой</w:t>
      </w:r>
      <w:r w:rsidR="00330FFE">
        <w:t xml:space="preserve"> величин</w:t>
      </w:r>
      <w:r>
        <w:t>ы</w:t>
      </w:r>
      <w:r w:rsidR="00330FFE">
        <w:t xml:space="preserve"> зарплаты</w:t>
      </w:r>
      <w:r w:rsidR="002161FC">
        <w:t>, облагаемой страховыми взносами по индивидуальному тарифу,</w:t>
      </w:r>
      <w:r w:rsidR="00330FFE">
        <w:t xml:space="preserve"> </w:t>
      </w:r>
      <w:r w:rsidR="002161FC">
        <w:t>в</w:t>
      </w:r>
      <w:r w:rsidR="00330FFE">
        <w:t xml:space="preserve"> 76000 руб., </w:t>
      </w:r>
      <w:r>
        <w:t xml:space="preserve">и </w:t>
      </w:r>
      <w:r w:rsidRPr="00E55417">
        <w:rPr>
          <w:b/>
          <w:i/>
        </w:rPr>
        <w:t>приводит к занижению сумм рассчитанных с помощью калькулятора размеров пенсий</w:t>
      </w:r>
      <w:r>
        <w:t xml:space="preserve"> </w:t>
      </w:r>
      <w:proofErr w:type="gramStart"/>
      <w:r>
        <w:t xml:space="preserve">( </w:t>
      </w:r>
      <w:proofErr w:type="gramEnd"/>
      <w:r>
        <w:t xml:space="preserve">в связи с завышенной величиной </w:t>
      </w:r>
      <w:r w:rsidRPr="00E92F29">
        <w:rPr>
          <w:rFonts w:eastAsia="Times New Roman"/>
          <w:color w:val="000000"/>
          <w:szCs w:val="24"/>
          <w:lang w:eastAsia="ru-RU"/>
        </w:rPr>
        <w:t>сумм</w:t>
      </w:r>
      <w:r>
        <w:rPr>
          <w:rFonts w:eastAsia="Times New Roman"/>
          <w:color w:val="000000"/>
          <w:szCs w:val="24"/>
          <w:lang w:eastAsia="ru-RU"/>
        </w:rPr>
        <w:t>ы</w:t>
      </w:r>
      <w:r w:rsidRPr="00E92F29">
        <w:rPr>
          <w:rFonts w:eastAsia="Times New Roman"/>
          <w:color w:val="000000"/>
          <w:szCs w:val="24"/>
          <w:lang w:eastAsia="ru-RU"/>
        </w:rPr>
        <w:t xml:space="preserve"> страховых взносов с максимальной облагаемой взнос</w:t>
      </w:r>
      <w:r w:rsidRPr="000A0D6A">
        <w:rPr>
          <w:rFonts w:eastAsia="Times New Roman"/>
          <w:color w:val="000000"/>
          <w:szCs w:val="24"/>
          <w:lang w:eastAsia="ru-RU"/>
        </w:rPr>
        <w:t>ами</w:t>
      </w:r>
      <w:r w:rsidRPr="00E92F29">
        <w:rPr>
          <w:rFonts w:eastAsia="Times New Roman"/>
          <w:color w:val="000000"/>
          <w:szCs w:val="24"/>
          <w:lang w:eastAsia="ru-RU"/>
        </w:rPr>
        <w:t xml:space="preserve"> заработной платы, уплачиваемых по тарифу 16%</w:t>
      </w:r>
      <w:r w:rsidRPr="000A0D6A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DD44E7" w:rsidRDefault="00E55417" w:rsidP="00E55417">
      <w:pPr>
        <w:spacing w:after="0" w:line="240" w:lineRule="auto"/>
        <w:ind w:firstLine="709"/>
        <w:jc w:val="both"/>
      </w:pPr>
      <w:r>
        <w:t xml:space="preserve">2. </w:t>
      </w:r>
      <w:r w:rsidR="00AF159E">
        <w:t xml:space="preserve">Расчеты с помощью калькулятора </w:t>
      </w:r>
      <w:r w:rsidR="009933B2">
        <w:t xml:space="preserve">ПФР </w:t>
      </w:r>
      <w:r w:rsidR="00AF159E">
        <w:t xml:space="preserve">влияния </w:t>
      </w:r>
      <w:r w:rsidR="009933B2">
        <w:t xml:space="preserve">на размер пенсии </w:t>
      </w:r>
      <w:r w:rsidR="00AF159E">
        <w:t>выбранного тарифа отчислений на накопительную пенсию (6% или 0%) показывают хот</w:t>
      </w:r>
      <w:r w:rsidR="009933B2">
        <w:t>я</w:t>
      </w:r>
      <w:r w:rsidR="00AF159E">
        <w:t xml:space="preserve"> и чисто символическое, но преимущество варианта с сохранением накопительной пенсии. Следует, однако, отметить, что приводимый размер </w:t>
      </w:r>
      <w:r w:rsidR="00DD44E7">
        <w:t>накопительной пенсии соответствует доходности</w:t>
      </w:r>
      <w:r w:rsidR="00481781">
        <w:t xml:space="preserve"> на 0,1</w:t>
      </w:r>
      <w:r w:rsidR="009933B2">
        <w:t xml:space="preserve"> </w:t>
      </w:r>
      <w:proofErr w:type="gramStart"/>
      <w:r w:rsidR="009933B2">
        <w:t>процентных</w:t>
      </w:r>
      <w:proofErr w:type="gramEnd"/>
      <w:r w:rsidR="009933B2">
        <w:t xml:space="preserve"> пункта </w:t>
      </w:r>
      <w:r w:rsidR="00481781">
        <w:t xml:space="preserve">ниже уровня инфляции. </w:t>
      </w:r>
    </w:p>
    <w:p w:rsidR="00481781" w:rsidRDefault="00481781" w:rsidP="00E55417">
      <w:pPr>
        <w:spacing w:after="0" w:line="240" w:lineRule="auto"/>
        <w:ind w:firstLine="709"/>
        <w:jc w:val="both"/>
      </w:pPr>
      <w:r>
        <w:t xml:space="preserve">За время участия негосударственных пенсионных фондов в ОПС среднее значение доходности НПФ составляло 10,22% при средней инфляции за </w:t>
      </w:r>
      <w:r w:rsidR="00DF4C55">
        <w:t>это же время 9</w:t>
      </w:r>
      <w:r w:rsidR="009933B2">
        <w:t>,</w:t>
      </w:r>
      <w:r w:rsidR="00DF4C55">
        <w:t>03%, то есть средняя доходность НПФ превышала среднюю инфляцию на 1,19%</w:t>
      </w:r>
    </w:p>
    <w:p w:rsidR="00AF159E" w:rsidRDefault="00AF159E" w:rsidP="00E55417">
      <w:pPr>
        <w:spacing w:after="0" w:line="240" w:lineRule="auto"/>
        <w:ind w:firstLine="709"/>
        <w:jc w:val="both"/>
      </w:pPr>
      <w:proofErr w:type="gramStart"/>
      <w:r>
        <w:t xml:space="preserve">При доходности, превышающей инфляцию на эту величину, размер накопительной пенсии увеличивается </w:t>
      </w:r>
      <w:r w:rsidR="009933B2">
        <w:t xml:space="preserve">по сравнению с определенной с помощью калькулятора </w:t>
      </w:r>
      <w:r>
        <w:t xml:space="preserve">у мужчин с 3818 руб. до 4792 руб., а суммарная пенсия с 14223 руб. до </w:t>
      </w:r>
      <w:r w:rsidR="00330FFE">
        <w:t>15148</w:t>
      </w:r>
      <w:r>
        <w:t xml:space="preserve"> руб.</w:t>
      </w:r>
      <w:proofErr w:type="gramEnd"/>
    </w:p>
    <w:p w:rsidR="00AF159E" w:rsidRDefault="00AF159E" w:rsidP="00E55417">
      <w:pPr>
        <w:spacing w:after="0" w:line="240" w:lineRule="auto"/>
        <w:ind w:firstLine="709"/>
        <w:jc w:val="both"/>
      </w:pPr>
      <w:r>
        <w:t xml:space="preserve">При доходности, превышающей инфляцию на 2,5%, размер накопительной пенсии увеличивается у мужчин </w:t>
      </w:r>
      <w:r w:rsidR="00330FFE">
        <w:t xml:space="preserve">с </w:t>
      </w:r>
      <w:r>
        <w:t xml:space="preserve">3818 руб. до 6147 руб., а суммарная пенсия с 14223 руб. до </w:t>
      </w:r>
      <w:r w:rsidR="00330FFE">
        <w:t>16503</w:t>
      </w:r>
      <w:r>
        <w:t xml:space="preserve"> руб.</w:t>
      </w:r>
    </w:p>
    <w:p w:rsidR="00481781" w:rsidRDefault="00330FFE" w:rsidP="00E55417">
      <w:pPr>
        <w:spacing w:after="0" w:line="240" w:lineRule="auto"/>
        <w:ind w:firstLine="709"/>
        <w:jc w:val="both"/>
      </w:pPr>
      <w:r>
        <w:t xml:space="preserve">Это лишний раз подтверждает </w:t>
      </w:r>
      <w:r w:rsidRPr="009933B2">
        <w:rPr>
          <w:b/>
          <w:i/>
        </w:rPr>
        <w:t>сомнительность усиленно пропагандируемого Пенсионным фондом России тезиса о выгодности для застрахованных лиц отказа от накопительной пенсии</w:t>
      </w:r>
      <w:r>
        <w:t>.</w:t>
      </w:r>
    </w:p>
    <w:p w:rsidR="00D21562" w:rsidRDefault="00D21562" w:rsidP="0075710E"/>
    <w:p w:rsidR="002D4819" w:rsidRDefault="002D4819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 Коэффициент замещения</w:t>
      </w:r>
    </w:p>
    <w:p w:rsidR="002D4819" w:rsidRDefault="002D4819" w:rsidP="00D05630">
      <w:pPr>
        <w:spacing w:after="0" w:line="240" w:lineRule="auto"/>
        <w:ind w:firstLine="709"/>
        <w:jc w:val="both"/>
        <w:rPr>
          <w:rFonts w:eastAsia="Calibri"/>
        </w:rPr>
      </w:pPr>
    </w:p>
    <w:p w:rsidR="002D4819" w:rsidRDefault="00BE4BFF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Решение проблемы достойного коэффициента замещения являлось одним из основных вопросов проводимых мероприятий по реформированию пенсионной системы.</w:t>
      </w:r>
    </w:p>
    <w:p w:rsidR="00BE4BFF" w:rsidRDefault="00BE4BFF" w:rsidP="00D05630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таблице 4 </w:t>
      </w:r>
      <w:r w:rsidR="00955F76">
        <w:rPr>
          <w:rFonts w:eastAsia="Calibri"/>
        </w:rPr>
        <w:t xml:space="preserve">и на диаграмме 2 </w:t>
      </w:r>
      <w:r>
        <w:rPr>
          <w:rFonts w:eastAsia="Calibri"/>
        </w:rPr>
        <w:t>приведены значения коэффициента замещения для размеров пенсий, полученных с помощью калькулятора ПФР для различных размеров заработной платы и величины страхового стажа.</w:t>
      </w:r>
    </w:p>
    <w:p w:rsidR="00BE4BFF" w:rsidRDefault="00BE4BFF" w:rsidP="00BE4BFF">
      <w:pPr>
        <w:jc w:val="right"/>
        <w:rPr>
          <w:szCs w:val="24"/>
        </w:rPr>
      </w:pPr>
      <w:r>
        <w:rPr>
          <w:szCs w:val="24"/>
        </w:rPr>
        <w:lastRenderedPageBreak/>
        <w:t>Таблица 4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092"/>
        <w:gridCol w:w="1276"/>
        <w:gridCol w:w="1134"/>
        <w:gridCol w:w="992"/>
        <w:gridCol w:w="1134"/>
        <w:gridCol w:w="992"/>
      </w:tblGrid>
      <w:tr w:rsidR="002D4819" w:rsidRPr="00930827" w:rsidTr="00D21562">
        <w:trPr>
          <w:trHeight w:val="300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Зарплата (тыс. руб.)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 лет</w:t>
            </w:r>
          </w:p>
        </w:tc>
      </w:tr>
      <w:tr w:rsidR="002D4819" w:rsidRPr="00930827" w:rsidTr="00D21562">
        <w:trPr>
          <w:trHeight w:val="300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8500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89,15%*</w:t>
            </w:r>
            <w:r w:rsidR="00B519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89,15%*</w:t>
            </w:r>
            <w:r w:rsidR="00B519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89,15%*</w:t>
            </w:r>
            <w:r w:rsidR="00B519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71,30%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75,50%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79,70%</w:t>
            </w:r>
          </w:p>
        </w:tc>
      </w:tr>
      <w:tr w:rsidR="002D4819" w:rsidRPr="00930827" w:rsidTr="00D21562">
        <w:trPr>
          <w:trHeight w:val="300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23,80%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36,40%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40,60%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44,80%</w:t>
            </w:r>
          </w:p>
        </w:tc>
      </w:tr>
      <w:tr w:rsidR="002D4819" w:rsidRPr="00930827" w:rsidTr="00D21562">
        <w:trPr>
          <w:trHeight w:val="300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24,40%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28,57%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32,78%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36,98%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41,19%</w:t>
            </w:r>
          </w:p>
        </w:tc>
      </w:tr>
      <w:tr w:rsidR="002D4819" w:rsidRPr="00930827" w:rsidTr="00D21562">
        <w:trPr>
          <w:trHeight w:val="300"/>
        </w:trPr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16,70%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19,90%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26,30%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4819" w:rsidRPr="00930827" w:rsidRDefault="002D4819" w:rsidP="00D215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3082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29,50%</w:t>
            </w:r>
          </w:p>
        </w:tc>
      </w:tr>
    </w:tbl>
    <w:p w:rsidR="009933B2" w:rsidRDefault="009933B2" w:rsidP="00B519E9">
      <w:pPr>
        <w:spacing w:after="0" w:line="240" w:lineRule="auto"/>
        <w:ind w:firstLine="709"/>
        <w:jc w:val="both"/>
        <w:rPr>
          <w:szCs w:val="24"/>
        </w:rPr>
      </w:pPr>
    </w:p>
    <w:p w:rsidR="002D4819" w:rsidRDefault="00BE4BFF" w:rsidP="00B519E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трех случаях для зарплаты 8500 рублей </w:t>
      </w:r>
      <w:r w:rsidR="00B519E9">
        <w:rPr>
          <w:szCs w:val="24"/>
        </w:rPr>
        <w:t xml:space="preserve">(метка *) </w:t>
      </w:r>
      <w:r>
        <w:rPr>
          <w:szCs w:val="24"/>
        </w:rPr>
        <w:t>величина пенсии принята равной величине социальной пенсии, поскольку при указанном страховом стаже не выполняется условие ИПК</w:t>
      </w:r>
      <w:r w:rsidRPr="00A814B7">
        <w:rPr>
          <w:szCs w:val="24"/>
        </w:rPr>
        <w:t>&gt;</w:t>
      </w:r>
      <w:r>
        <w:rPr>
          <w:szCs w:val="24"/>
        </w:rPr>
        <w:t>30.</w:t>
      </w:r>
    </w:p>
    <w:p w:rsidR="009933B2" w:rsidRDefault="009933B2" w:rsidP="00B519E9">
      <w:pPr>
        <w:spacing w:after="0" w:line="240" w:lineRule="auto"/>
        <w:ind w:firstLine="709"/>
        <w:jc w:val="both"/>
        <w:rPr>
          <w:szCs w:val="24"/>
        </w:rPr>
      </w:pPr>
    </w:p>
    <w:p w:rsidR="002D4819" w:rsidRDefault="00955F76" w:rsidP="00955F76">
      <w:pPr>
        <w:jc w:val="right"/>
        <w:rPr>
          <w:szCs w:val="24"/>
        </w:rPr>
      </w:pPr>
      <w:r>
        <w:rPr>
          <w:szCs w:val="24"/>
        </w:rPr>
        <w:t>Диаграмма 2</w:t>
      </w:r>
    </w:p>
    <w:p w:rsidR="00955F76" w:rsidRDefault="00955F76" w:rsidP="002D4819">
      <w:pPr>
        <w:rPr>
          <w:szCs w:val="24"/>
        </w:rPr>
      </w:pPr>
      <w:r w:rsidRPr="00955F76">
        <w:rPr>
          <w:noProof/>
          <w:szCs w:val="24"/>
          <w:lang w:eastAsia="ru-RU"/>
        </w:rPr>
        <w:drawing>
          <wp:inline distT="0" distB="0" distL="0" distR="0">
            <wp:extent cx="5940425" cy="388282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5F76" w:rsidRDefault="00955F76" w:rsidP="00B519E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Как видим, условие Кзам</w:t>
      </w:r>
      <w:r w:rsidRPr="00B519E9">
        <w:rPr>
          <w:szCs w:val="24"/>
        </w:rPr>
        <w:t>&gt;</w:t>
      </w:r>
      <w:r>
        <w:rPr>
          <w:szCs w:val="24"/>
        </w:rPr>
        <w:t xml:space="preserve">40% выполняется </w:t>
      </w:r>
      <w:r w:rsidR="00B519E9">
        <w:rPr>
          <w:szCs w:val="24"/>
        </w:rPr>
        <w:t>только для зарплат ниже средней или при величине страхового стажа больше 35 лет.</w:t>
      </w:r>
    </w:p>
    <w:p w:rsidR="00B519E9" w:rsidRDefault="00B519E9" w:rsidP="00B519E9">
      <w:pPr>
        <w:spacing w:after="0" w:line="240" w:lineRule="auto"/>
        <w:ind w:firstLine="709"/>
        <w:jc w:val="both"/>
        <w:rPr>
          <w:szCs w:val="24"/>
        </w:rPr>
      </w:pPr>
    </w:p>
    <w:p w:rsidR="00B519E9" w:rsidRDefault="00B519E9" w:rsidP="009933B2">
      <w:pPr>
        <w:spacing w:after="0" w:line="240" w:lineRule="auto"/>
        <w:ind w:firstLine="709"/>
        <w:rPr>
          <w:color w:val="464646"/>
          <w:szCs w:val="24"/>
          <w:shd w:val="clear" w:color="auto" w:fill="F5F4EE"/>
        </w:rPr>
      </w:pPr>
      <w:r>
        <w:rPr>
          <w:szCs w:val="24"/>
        </w:rPr>
        <w:t xml:space="preserve">4. </w:t>
      </w:r>
      <w:r w:rsidRPr="003E594A">
        <w:rPr>
          <w:szCs w:val="24"/>
        </w:rPr>
        <w:t xml:space="preserve">Влияние срока </w:t>
      </w:r>
      <w:r w:rsidRPr="003E594A">
        <w:rPr>
          <w:color w:val="464646"/>
          <w:szCs w:val="24"/>
          <w:shd w:val="clear" w:color="auto" w:fill="F5F4EE"/>
        </w:rPr>
        <w:t>работы без обращения за назначением пенсии</w:t>
      </w:r>
    </w:p>
    <w:p w:rsidR="009933B2" w:rsidRDefault="009933B2" w:rsidP="009933B2">
      <w:pPr>
        <w:spacing w:after="0" w:line="240" w:lineRule="auto"/>
        <w:ind w:firstLine="709"/>
        <w:rPr>
          <w:color w:val="464646"/>
          <w:szCs w:val="24"/>
          <w:shd w:val="clear" w:color="auto" w:fill="F5F4EE"/>
        </w:rPr>
      </w:pPr>
    </w:p>
    <w:p w:rsidR="00D80407" w:rsidRDefault="009933B2" w:rsidP="00D80407">
      <w:pPr>
        <w:spacing w:after="0" w:line="240" w:lineRule="auto"/>
        <w:ind w:firstLine="709"/>
        <w:jc w:val="both"/>
      </w:pPr>
      <w:proofErr w:type="gramStart"/>
      <w:r>
        <w:t>Н</w:t>
      </w:r>
      <w:r w:rsidR="00B519E9">
        <w:t>аряду с другими характеристиками, влияющими на величину</w:t>
      </w:r>
      <w:r w:rsidR="00D80407">
        <w:t xml:space="preserve"> индивидуального пенсионного коэффициент, </w:t>
      </w:r>
      <w:r>
        <w:t>н</w:t>
      </w:r>
      <w:r w:rsidRPr="00A563C7">
        <w:t xml:space="preserve">овая пенсионная формула </w:t>
      </w:r>
      <w:r>
        <w:t>придает</w:t>
      </w:r>
      <w:r w:rsidR="00D80407">
        <w:t xml:space="preserve"> большое </w:t>
      </w:r>
      <w:r>
        <w:t>значение</w:t>
      </w:r>
      <w:r w:rsidR="00D80407">
        <w:t xml:space="preserve"> более позднему по сравнению с установленным пенсионным возрастом (60 лет для мужчин и 55 лет для женщин) сроком выхода на пенсию. </w:t>
      </w:r>
      <w:proofErr w:type="gramEnd"/>
    </w:p>
    <w:p w:rsidR="00D80407" w:rsidRDefault="00D80407" w:rsidP="00D80407">
      <w:pPr>
        <w:spacing w:after="0" w:line="240" w:lineRule="auto"/>
        <w:ind w:firstLine="709"/>
        <w:jc w:val="both"/>
      </w:pPr>
      <w:r>
        <w:t xml:space="preserve">Федеральным законом «О страховых пенсиях» предусмотрены повышающие коэффициенты </w:t>
      </w:r>
      <w:r w:rsidR="00CE212A">
        <w:t>для набранных застрахованным лицом индивидуальных пенсионных коэффициентов и для величины фиксированной выплаты</w:t>
      </w:r>
      <w:r w:rsidR="00455E80">
        <w:t xml:space="preserve"> (таблица 5)</w:t>
      </w:r>
      <w:r w:rsidR="009933B2">
        <w:t>.</w:t>
      </w:r>
    </w:p>
    <w:p w:rsidR="00CE212A" w:rsidRDefault="00CE212A" w:rsidP="00D80407">
      <w:pPr>
        <w:spacing w:after="0" w:line="240" w:lineRule="auto"/>
        <w:ind w:firstLine="709"/>
        <w:jc w:val="both"/>
        <w:rPr>
          <w:color w:val="464646"/>
          <w:szCs w:val="24"/>
          <w:shd w:val="clear" w:color="auto" w:fill="F5F4EE"/>
        </w:rPr>
      </w:pPr>
    </w:p>
    <w:p w:rsidR="00455E80" w:rsidRDefault="00455E80" w:rsidP="00455E80">
      <w:pPr>
        <w:spacing w:after="0" w:line="240" w:lineRule="auto"/>
        <w:ind w:firstLine="709"/>
        <w:jc w:val="right"/>
        <w:rPr>
          <w:color w:val="464646"/>
          <w:szCs w:val="24"/>
          <w:shd w:val="clear" w:color="auto" w:fill="F5F4EE"/>
        </w:rPr>
      </w:pPr>
      <w:r>
        <w:rPr>
          <w:color w:val="464646"/>
          <w:szCs w:val="24"/>
          <w:shd w:val="clear" w:color="auto" w:fill="F5F4EE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CE212A" w:rsidTr="00455E80">
        <w:tc>
          <w:tcPr>
            <w:tcW w:w="4219" w:type="dxa"/>
          </w:tcPr>
          <w:p w:rsidR="00CE212A" w:rsidRPr="00455E80" w:rsidRDefault="00CE212A" w:rsidP="00455E80">
            <w:pPr>
              <w:jc w:val="center"/>
              <w:rPr>
                <w:b/>
                <w:color w:val="000000" w:themeColor="text1"/>
                <w:szCs w:val="24"/>
                <w:shd w:val="clear" w:color="auto" w:fill="F5F4EE"/>
              </w:rPr>
            </w:pPr>
            <w:r w:rsidRPr="00455E80"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 xml:space="preserve">Количество полных месяцев, </w:t>
            </w:r>
            <w:r w:rsidRPr="00455E80"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lastRenderedPageBreak/>
              <w:t>истекших со дня возникновения права на страховую пенсию</w:t>
            </w:r>
          </w:p>
        </w:tc>
        <w:tc>
          <w:tcPr>
            <w:tcW w:w="2835" w:type="dxa"/>
          </w:tcPr>
          <w:p w:rsidR="00CE212A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lastRenderedPageBreak/>
              <w:t xml:space="preserve">Коэффициент </w:t>
            </w:r>
            <w:r>
              <w:rPr>
                <w:color w:val="464646"/>
                <w:szCs w:val="24"/>
                <w:shd w:val="clear" w:color="auto" w:fill="F5F4EE"/>
              </w:rPr>
              <w:lastRenderedPageBreak/>
              <w:t>повышения фиксированной выплаты</w:t>
            </w:r>
          </w:p>
        </w:tc>
        <w:tc>
          <w:tcPr>
            <w:tcW w:w="2517" w:type="dxa"/>
          </w:tcPr>
          <w:p w:rsidR="00CE212A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lastRenderedPageBreak/>
              <w:t xml:space="preserve">Коэффициент </w:t>
            </w:r>
            <w:r>
              <w:rPr>
                <w:color w:val="464646"/>
                <w:szCs w:val="24"/>
                <w:shd w:val="clear" w:color="auto" w:fill="F5F4EE"/>
              </w:rPr>
              <w:lastRenderedPageBreak/>
              <w:t>повышения ИПК</w:t>
            </w:r>
          </w:p>
        </w:tc>
      </w:tr>
      <w:tr w:rsidR="00455E80" w:rsidTr="00455E80">
        <w:tc>
          <w:tcPr>
            <w:tcW w:w="4219" w:type="dxa"/>
          </w:tcPr>
          <w:p w:rsidR="00455E80" w:rsidRP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lastRenderedPageBreak/>
              <w:t>менее 12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12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1,056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1,07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24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1,12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1,15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36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1,19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1,24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48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1,27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1,34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60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1,36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1,45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72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1,46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1,59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84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1,58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1,74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96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1,73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1,9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108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1,9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2,09</w:t>
            </w:r>
          </w:p>
        </w:tc>
      </w:tr>
      <w:tr w:rsidR="00455E80" w:rsidTr="00455E80">
        <w:tc>
          <w:tcPr>
            <w:tcW w:w="4219" w:type="dxa"/>
          </w:tcPr>
          <w:p w:rsidR="00455E80" w:rsidRDefault="00455E80" w:rsidP="00455E80">
            <w:pPr>
              <w:jc w:val="center"/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</w:pPr>
            <w:r>
              <w:rPr>
                <w:rStyle w:val="a5"/>
                <w:rFonts w:cs="Arial"/>
                <w:b w:val="0"/>
                <w:color w:val="000000" w:themeColor="text1"/>
                <w:shd w:val="clear" w:color="auto" w:fill="F7F2EF"/>
              </w:rPr>
              <w:t>120 и более</w:t>
            </w:r>
          </w:p>
        </w:tc>
        <w:tc>
          <w:tcPr>
            <w:tcW w:w="2835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2,11</w:t>
            </w:r>
          </w:p>
        </w:tc>
        <w:tc>
          <w:tcPr>
            <w:tcW w:w="2517" w:type="dxa"/>
          </w:tcPr>
          <w:p w:rsidR="00455E80" w:rsidRDefault="00455E80" w:rsidP="00455E80">
            <w:pPr>
              <w:jc w:val="center"/>
              <w:rPr>
                <w:color w:val="464646"/>
                <w:szCs w:val="24"/>
                <w:shd w:val="clear" w:color="auto" w:fill="F5F4EE"/>
              </w:rPr>
            </w:pPr>
            <w:r>
              <w:rPr>
                <w:color w:val="464646"/>
                <w:szCs w:val="24"/>
                <w:shd w:val="clear" w:color="auto" w:fill="F5F4EE"/>
              </w:rPr>
              <w:t>2,32</w:t>
            </w:r>
          </w:p>
        </w:tc>
      </w:tr>
    </w:tbl>
    <w:p w:rsidR="00D80407" w:rsidRDefault="00D80407" w:rsidP="00B519E9">
      <w:pPr>
        <w:rPr>
          <w:color w:val="464646"/>
          <w:szCs w:val="24"/>
          <w:shd w:val="clear" w:color="auto" w:fill="F5F4EE"/>
        </w:rPr>
      </w:pPr>
    </w:p>
    <w:p w:rsidR="00455E80" w:rsidRDefault="00455E80" w:rsidP="00200604">
      <w:pPr>
        <w:spacing w:after="0" w:line="240" w:lineRule="auto"/>
        <w:ind w:firstLine="709"/>
        <w:jc w:val="both"/>
        <w:rPr>
          <w:color w:val="464646"/>
          <w:szCs w:val="24"/>
          <w:shd w:val="clear" w:color="auto" w:fill="F5F4EE"/>
        </w:rPr>
      </w:pPr>
      <w:r>
        <w:rPr>
          <w:color w:val="464646"/>
          <w:szCs w:val="24"/>
          <w:shd w:val="clear" w:color="auto" w:fill="F5F4EE"/>
        </w:rPr>
        <w:t xml:space="preserve">В таблицах 6 и 7 приведены </w:t>
      </w:r>
      <w:r w:rsidR="00E012ED">
        <w:rPr>
          <w:color w:val="464646"/>
          <w:szCs w:val="24"/>
          <w:shd w:val="clear" w:color="auto" w:fill="F5F4EE"/>
        </w:rPr>
        <w:t>полученные</w:t>
      </w:r>
      <w:r>
        <w:rPr>
          <w:color w:val="464646"/>
          <w:szCs w:val="24"/>
          <w:shd w:val="clear" w:color="auto" w:fill="F5F4EE"/>
        </w:rPr>
        <w:t xml:space="preserve"> с помощью пенсионного калькулятора ПФР </w:t>
      </w:r>
      <w:r w:rsidR="00E012ED">
        <w:rPr>
          <w:color w:val="464646"/>
          <w:szCs w:val="24"/>
          <w:shd w:val="clear" w:color="auto" w:fill="F5F4EE"/>
        </w:rPr>
        <w:t xml:space="preserve">значения </w:t>
      </w:r>
      <w:r>
        <w:rPr>
          <w:color w:val="464646"/>
          <w:szCs w:val="24"/>
          <w:shd w:val="clear" w:color="auto" w:fill="F5F4EE"/>
        </w:rPr>
        <w:t xml:space="preserve">размеров пенсии, расчетного страхового стажа (с учетом </w:t>
      </w:r>
      <w:r w:rsidR="00200604">
        <w:rPr>
          <w:color w:val="464646"/>
          <w:szCs w:val="24"/>
          <w:shd w:val="clear" w:color="auto" w:fill="F5F4EE"/>
        </w:rPr>
        <w:t xml:space="preserve">«нестраховых» периодов) и коэффициента замещения для </w:t>
      </w:r>
      <w:r>
        <w:rPr>
          <w:color w:val="464646"/>
          <w:szCs w:val="24"/>
          <w:shd w:val="clear" w:color="auto" w:fill="F5F4EE"/>
        </w:rPr>
        <w:t xml:space="preserve">заработной </w:t>
      </w:r>
      <w:r w:rsidR="00200604">
        <w:rPr>
          <w:color w:val="464646"/>
          <w:szCs w:val="24"/>
          <w:shd w:val="clear" w:color="auto" w:fill="F5F4EE"/>
        </w:rPr>
        <w:t>платы 35000 руб. и двух значений тарифа на формирование накопительной пенсии (0% и 6%).</w:t>
      </w:r>
    </w:p>
    <w:p w:rsidR="00E012ED" w:rsidRDefault="00E012ED" w:rsidP="00200604">
      <w:pPr>
        <w:spacing w:after="0" w:line="240" w:lineRule="auto"/>
        <w:ind w:firstLine="709"/>
        <w:jc w:val="both"/>
        <w:rPr>
          <w:color w:val="464646"/>
          <w:szCs w:val="24"/>
          <w:shd w:val="clear" w:color="auto" w:fill="F5F4EE"/>
        </w:rPr>
      </w:pPr>
    </w:p>
    <w:p w:rsidR="00B519E9" w:rsidRDefault="00B519E9" w:rsidP="00200604">
      <w:pPr>
        <w:spacing w:after="0" w:line="240" w:lineRule="auto"/>
        <w:ind w:firstLine="709"/>
        <w:jc w:val="both"/>
        <w:rPr>
          <w:szCs w:val="24"/>
        </w:rPr>
      </w:pPr>
      <w:r>
        <w:rPr>
          <w:color w:val="464646"/>
          <w:szCs w:val="24"/>
          <w:shd w:val="clear" w:color="auto" w:fill="F5F4EE"/>
        </w:rPr>
        <w:t>Мужчины</w:t>
      </w:r>
      <w:r w:rsidRPr="003E594A">
        <w:rPr>
          <w:szCs w:val="24"/>
        </w:rPr>
        <w:t xml:space="preserve"> </w:t>
      </w:r>
    </w:p>
    <w:p w:rsidR="00200604" w:rsidRDefault="00200604" w:rsidP="00200604">
      <w:pPr>
        <w:jc w:val="right"/>
        <w:rPr>
          <w:szCs w:val="24"/>
        </w:rPr>
      </w:pPr>
      <w:r>
        <w:rPr>
          <w:szCs w:val="24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27"/>
        <w:gridCol w:w="1255"/>
        <w:gridCol w:w="1342"/>
        <w:gridCol w:w="1307"/>
        <w:gridCol w:w="1250"/>
        <w:gridCol w:w="1352"/>
      </w:tblGrid>
      <w:tr w:rsidR="00B519E9" w:rsidTr="005714CA"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  <w:r w:rsidR="00200604">
              <w:rPr>
                <w:szCs w:val="24"/>
              </w:rPr>
              <w:t xml:space="preserve"> после установленного возраста (лет)</w:t>
            </w:r>
          </w:p>
        </w:tc>
        <w:tc>
          <w:tcPr>
            <w:tcW w:w="1367" w:type="dxa"/>
          </w:tcPr>
          <w:p w:rsidR="00B519E9" w:rsidRDefault="00B519E9" w:rsidP="002006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200604">
              <w:rPr>
                <w:szCs w:val="24"/>
              </w:rPr>
              <w:t>П</w:t>
            </w:r>
            <w:r>
              <w:rPr>
                <w:szCs w:val="24"/>
              </w:rPr>
              <w:t>К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Полная пенсия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Страховая</w:t>
            </w:r>
            <w:r w:rsidR="00200604">
              <w:rPr>
                <w:szCs w:val="24"/>
              </w:rPr>
              <w:t xml:space="preserve"> пенсия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Накопит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200604">
              <w:rPr>
                <w:szCs w:val="24"/>
              </w:rPr>
              <w:t xml:space="preserve"> </w:t>
            </w:r>
            <w:proofErr w:type="gramStart"/>
            <w:r w:rsidR="00200604">
              <w:rPr>
                <w:szCs w:val="24"/>
              </w:rPr>
              <w:t>п</w:t>
            </w:r>
            <w:proofErr w:type="gramEnd"/>
            <w:r w:rsidR="00200604">
              <w:rPr>
                <w:szCs w:val="24"/>
              </w:rPr>
              <w:t>енсия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Кзам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Расчетный страховой стаж (лет)</w:t>
            </w:r>
          </w:p>
        </w:tc>
      </w:tr>
      <w:tr w:rsidR="00B519E9" w:rsidTr="005714CA">
        <w:tc>
          <w:tcPr>
            <w:tcW w:w="1367" w:type="dxa"/>
            <w:vMerge w:val="restart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160,89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14223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14223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B519E9" w:rsidTr="005714CA">
        <w:tc>
          <w:tcPr>
            <w:tcW w:w="1367" w:type="dxa"/>
            <w:vMerge/>
          </w:tcPr>
          <w:p w:rsidR="00B519E9" w:rsidRDefault="00B519E9" w:rsidP="00D80407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100,56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14224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10356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3868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B519E9" w:rsidTr="005714CA">
        <w:tc>
          <w:tcPr>
            <w:tcW w:w="1367" w:type="dxa"/>
            <w:vMerge w:val="restart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266,62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22408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22408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B519E9" w:rsidTr="005714CA">
        <w:tc>
          <w:tcPr>
            <w:tcW w:w="1367" w:type="dxa"/>
            <w:vMerge/>
          </w:tcPr>
          <w:p w:rsidR="00B519E9" w:rsidRDefault="00B519E9" w:rsidP="00D80407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166,64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21249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15999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60,7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B519E9" w:rsidTr="005714CA">
        <w:tc>
          <w:tcPr>
            <w:tcW w:w="1367" w:type="dxa"/>
            <w:vMerge w:val="restart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479,91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39013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39013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111,5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B519E9" w:rsidTr="005714CA">
        <w:tc>
          <w:tcPr>
            <w:tcW w:w="1367" w:type="dxa"/>
            <w:vMerge/>
          </w:tcPr>
          <w:p w:rsidR="00B519E9" w:rsidRDefault="00B519E9" w:rsidP="00D80407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299,94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35644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27477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8167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101,8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</w:tbl>
    <w:p w:rsidR="00D80407" w:rsidRDefault="00D80407" w:rsidP="00B519E9">
      <w:pPr>
        <w:rPr>
          <w:szCs w:val="24"/>
        </w:rPr>
      </w:pPr>
    </w:p>
    <w:p w:rsidR="00B519E9" w:rsidRDefault="00B519E9" w:rsidP="0020060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Женщины</w:t>
      </w:r>
    </w:p>
    <w:p w:rsidR="00200604" w:rsidRDefault="00200604" w:rsidP="00200604">
      <w:pPr>
        <w:jc w:val="right"/>
        <w:rPr>
          <w:szCs w:val="24"/>
        </w:rPr>
      </w:pPr>
      <w:r>
        <w:rPr>
          <w:szCs w:val="24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27"/>
        <w:gridCol w:w="1255"/>
        <w:gridCol w:w="1342"/>
        <w:gridCol w:w="1307"/>
        <w:gridCol w:w="1250"/>
        <w:gridCol w:w="1352"/>
      </w:tblGrid>
      <w:tr w:rsidR="00D80407" w:rsidTr="005714CA">
        <w:tc>
          <w:tcPr>
            <w:tcW w:w="1367" w:type="dxa"/>
          </w:tcPr>
          <w:p w:rsidR="00D80407" w:rsidRDefault="00200604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после установленного возраста (лет)</w:t>
            </w:r>
          </w:p>
        </w:tc>
        <w:tc>
          <w:tcPr>
            <w:tcW w:w="1367" w:type="dxa"/>
          </w:tcPr>
          <w:p w:rsidR="00D80407" w:rsidRDefault="00D80407" w:rsidP="002006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200604">
              <w:rPr>
                <w:szCs w:val="24"/>
              </w:rPr>
              <w:t>П</w:t>
            </w:r>
            <w:r>
              <w:rPr>
                <w:szCs w:val="24"/>
              </w:rPr>
              <w:t>К</w:t>
            </w:r>
          </w:p>
        </w:tc>
        <w:tc>
          <w:tcPr>
            <w:tcW w:w="1367" w:type="dxa"/>
          </w:tcPr>
          <w:p w:rsidR="00D80407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Полная пенсия</w:t>
            </w:r>
          </w:p>
        </w:tc>
        <w:tc>
          <w:tcPr>
            <w:tcW w:w="1367" w:type="dxa"/>
          </w:tcPr>
          <w:p w:rsidR="00D80407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Страховая</w:t>
            </w:r>
            <w:r w:rsidR="00200604">
              <w:rPr>
                <w:szCs w:val="24"/>
              </w:rPr>
              <w:t xml:space="preserve"> пенсия</w:t>
            </w:r>
          </w:p>
        </w:tc>
        <w:tc>
          <w:tcPr>
            <w:tcW w:w="1367" w:type="dxa"/>
          </w:tcPr>
          <w:p w:rsidR="00D80407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Накопит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200604">
              <w:rPr>
                <w:szCs w:val="24"/>
              </w:rPr>
              <w:t xml:space="preserve"> </w:t>
            </w:r>
            <w:proofErr w:type="gramStart"/>
            <w:r w:rsidR="00200604">
              <w:rPr>
                <w:szCs w:val="24"/>
              </w:rPr>
              <w:t>п</w:t>
            </w:r>
            <w:proofErr w:type="gramEnd"/>
            <w:r w:rsidR="00200604">
              <w:rPr>
                <w:szCs w:val="24"/>
              </w:rPr>
              <w:t>енсия</w:t>
            </w:r>
          </w:p>
        </w:tc>
        <w:tc>
          <w:tcPr>
            <w:tcW w:w="1368" w:type="dxa"/>
          </w:tcPr>
          <w:p w:rsidR="00D80407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Кзам</w:t>
            </w:r>
          </w:p>
        </w:tc>
        <w:tc>
          <w:tcPr>
            <w:tcW w:w="1368" w:type="dxa"/>
          </w:tcPr>
          <w:p w:rsidR="00D80407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Расчетный страховой стаж (лет)</w:t>
            </w:r>
          </w:p>
        </w:tc>
      </w:tr>
      <w:tr w:rsidR="00B519E9" w:rsidTr="005714CA">
        <w:tc>
          <w:tcPr>
            <w:tcW w:w="1367" w:type="dxa"/>
            <w:vMerge w:val="restart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146,01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13269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13269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B519E9" w:rsidTr="005714CA">
        <w:tc>
          <w:tcPr>
            <w:tcW w:w="1367" w:type="dxa"/>
            <w:vMerge/>
          </w:tcPr>
          <w:p w:rsidR="00B519E9" w:rsidRDefault="00B519E9" w:rsidP="00D80407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94,29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13270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9954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3316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B519E9" w:rsidTr="005714CA">
        <w:tc>
          <w:tcPr>
            <w:tcW w:w="1367" w:type="dxa"/>
            <w:vMerge w:val="restart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245,03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21025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21025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60,1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B519E9" w:rsidTr="005714CA">
        <w:tc>
          <w:tcPr>
            <w:tcW w:w="1367" w:type="dxa"/>
            <w:vMerge/>
          </w:tcPr>
          <w:p w:rsidR="00B519E9" w:rsidRDefault="00B519E9" w:rsidP="00D80407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157,55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19917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15417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B519E9" w:rsidTr="005714CA">
        <w:tc>
          <w:tcPr>
            <w:tcW w:w="1367" w:type="dxa"/>
            <w:vMerge w:val="restart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445,38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36800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36800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105,1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B519E9" w:rsidTr="005714CA">
        <w:tc>
          <w:tcPr>
            <w:tcW w:w="1367" w:type="dxa"/>
            <w:vMerge/>
          </w:tcPr>
          <w:p w:rsidR="00B519E9" w:rsidRDefault="00B519E9" w:rsidP="00D80407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285,41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33546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26546</w:t>
            </w:r>
          </w:p>
        </w:tc>
        <w:tc>
          <w:tcPr>
            <w:tcW w:w="1367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368" w:type="dxa"/>
          </w:tcPr>
          <w:p w:rsidR="00B519E9" w:rsidRDefault="00B519E9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95,8</w:t>
            </w:r>
            <w:r w:rsidR="00E012ED">
              <w:rPr>
                <w:szCs w:val="24"/>
              </w:rPr>
              <w:t>%</w:t>
            </w:r>
          </w:p>
        </w:tc>
        <w:tc>
          <w:tcPr>
            <w:tcW w:w="1368" w:type="dxa"/>
          </w:tcPr>
          <w:p w:rsidR="00B519E9" w:rsidRDefault="00D80407" w:rsidP="00D80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</w:tbl>
    <w:p w:rsidR="00B519E9" w:rsidRDefault="00B519E9" w:rsidP="0011100C">
      <w:pPr>
        <w:spacing w:after="0" w:line="240" w:lineRule="auto"/>
        <w:ind w:firstLine="709"/>
        <w:rPr>
          <w:szCs w:val="24"/>
        </w:rPr>
      </w:pPr>
    </w:p>
    <w:p w:rsidR="00BC2EA5" w:rsidRDefault="00200604" w:rsidP="0011100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У женщин в расчетный страховой стаж входит также засчитываемый стаж по уходу за ребенком (1,5 года за каждого). </w:t>
      </w:r>
    </w:p>
    <w:p w:rsidR="0011100C" w:rsidRDefault="0011100C" w:rsidP="0011100C">
      <w:pPr>
        <w:spacing w:after="0" w:line="240" w:lineRule="auto"/>
        <w:ind w:firstLine="709"/>
        <w:jc w:val="both"/>
        <w:rPr>
          <w:szCs w:val="24"/>
        </w:rPr>
      </w:pPr>
    </w:p>
    <w:p w:rsidR="00BC2EA5" w:rsidRDefault="00200604" w:rsidP="00B519E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Можно отметить значительный (до </w:t>
      </w:r>
      <w:r w:rsidR="00BC2EA5">
        <w:rPr>
          <w:szCs w:val="24"/>
        </w:rPr>
        <w:t xml:space="preserve">2,77 раз) рост размера пенсии (правда, ценой увеличения в 1,3 раза </w:t>
      </w:r>
      <w:r w:rsidR="00E012ED">
        <w:rPr>
          <w:szCs w:val="24"/>
        </w:rPr>
        <w:t>времени</w:t>
      </w:r>
      <w:r w:rsidR="00BC2EA5">
        <w:rPr>
          <w:szCs w:val="24"/>
        </w:rPr>
        <w:t xml:space="preserve"> работы – величины страхового стажа</w:t>
      </w:r>
      <w:r w:rsidR="00E012ED">
        <w:rPr>
          <w:szCs w:val="24"/>
        </w:rPr>
        <w:t>,</w:t>
      </w:r>
      <w:r w:rsidR="00BC2EA5">
        <w:rPr>
          <w:szCs w:val="24"/>
        </w:rPr>
        <w:t xml:space="preserve"> и возраста выхода на </w:t>
      </w:r>
      <w:r w:rsidR="00BC2EA5">
        <w:rPr>
          <w:szCs w:val="24"/>
        </w:rPr>
        <w:lastRenderedPageBreak/>
        <w:t xml:space="preserve">пенсию до 70 лет у мужчин и до 65 лет у женщин). Коэффициент замещения </w:t>
      </w:r>
      <w:r w:rsidR="00E012ED">
        <w:rPr>
          <w:szCs w:val="24"/>
        </w:rPr>
        <w:t xml:space="preserve">при этом </w:t>
      </w:r>
      <w:r w:rsidR="00BC2EA5">
        <w:rPr>
          <w:szCs w:val="24"/>
        </w:rPr>
        <w:t xml:space="preserve">существенно возрастает и в отдельных случаях достигает неправдоподобного значения более 100%. </w:t>
      </w:r>
      <w:r w:rsidR="00E012ED">
        <w:rPr>
          <w:szCs w:val="24"/>
        </w:rPr>
        <w:t xml:space="preserve">В </w:t>
      </w:r>
      <w:r w:rsidR="00BC2EA5">
        <w:rPr>
          <w:szCs w:val="24"/>
        </w:rPr>
        <w:t>целом эт</w:t>
      </w:r>
      <w:r w:rsidR="00E012ED">
        <w:rPr>
          <w:szCs w:val="24"/>
        </w:rPr>
        <w:t>а</w:t>
      </w:r>
      <w:r w:rsidR="00BC2EA5">
        <w:rPr>
          <w:szCs w:val="24"/>
        </w:rPr>
        <w:t xml:space="preserve"> мер</w:t>
      </w:r>
      <w:r w:rsidR="00E012ED">
        <w:rPr>
          <w:szCs w:val="24"/>
        </w:rPr>
        <w:t>а</w:t>
      </w:r>
      <w:r w:rsidR="00BC2EA5">
        <w:rPr>
          <w:szCs w:val="24"/>
        </w:rPr>
        <w:t xml:space="preserve"> (стимулирование более позднего выхода на пенсию) представляется наиболее эффективн</w:t>
      </w:r>
      <w:r w:rsidR="00E012ED">
        <w:rPr>
          <w:szCs w:val="24"/>
        </w:rPr>
        <w:t>ой</w:t>
      </w:r>
      <w:r w:rsidR="00BC2EA5">
        <w:rPr>
          <w:szCs w:val="24"/>
        </w:rPr>
        <w:t xml:space="preserve"> из всех предложенных мероприятий</w:t>
      </w:r>
      <w:r w:rsidR="00E012ED">
        <w:rPr>
          <w:szCs w:val="24"/>
        </w:rPr>
        <w:t xml:space="preserve"> по повышению размера пенсии</w:t>
      </w:r>
      <w:r w:rsidR="00BC2EA5">
        <w:rPr>
          <w:szCs w:val="24"/>
        </w:rPr>
        <w:t>.</w:t>
      </w:r>
    </w:p>
    <w:p w:rsidR="00BC2EA5" w:rsidRDefault="00E012ED" w:rsidP="00B519E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Однако, расчет величины накопительной пенсии, полученной для этих случаев, н</w:t>
      </w:r>
      <w:r w:rsidR="0011100C">
        <w:rPr>
          <w:szCs w:val="24"/>
        </w:rPr>
        <w:t>е соответствует принципу постоянства условий. Если для стандартных условий расчет накопительной пенсии производится исходя из доходности 0%, то при сроке после установленного возраста 5 лет при доходности 0,8%, а при сроке 10 лет – при доходности свыше 2%.</w:t>
      </w:r>
    </w:p>
    <w:p w:rsidR="008B3CDC" w:rsidRDefault="008B3CDC" w:rsidP="00B519E9">
      <w:pPr>
        <w:spacing w:after="0" w:line="240" w:lineRule="auto"/>
        <w:ind w:firstLine="709"/>
        <w:jc w:val="both"/>
        <w:rPr>
          <w:szCs w:val="24"/>
        </w:rPr>
      </w:pPr>
    </w:p>
    <w:p w:rsidR="007C69CE" w:rsidRDefault="007C69CE" w:rsidP="00B519E9">
      <w:pPr>
        <w:spacing w:after="0" w:line="240" w:lineRule="auto"/>
        <w:ind w:firstLine="709"/>
        <w:jc w:val="both"/>
        <w:rPr>
          <w:szCs w:val="24"/>
        </w:rPr>
      </w:pPr>
    </w:p>
    <w:p w:rsidR="007C69CE" w:rsidRPr="008B3CDC" w:rsidRDefault="007C69CE" w:rsidP="00B519E9">
      <w:pPr>
        <w:spacing w:after="0" w:line="240" w:lineRule="auto"/>
        <w:ind w:firstLine="709"/>
        <w:jc w:val="both"/>
        <w:rPr>
          <w:b/>
          <w:szCs w:val="24"/>
        </w:rPr>
      </w:pPr>
      <w:r w:rsidRPr="008B3CDC">
        <w:rPr>
          <w:b/>
          <w:szCs w:val="24"/>
        </w:rPr>
        <w:t>Выводы</w:t>
      </w:r>
    </w:p>
    <w:p w:rsidR="00E012ED" w:rsidRDefault="00E012ED" w:rsidP="00B519E9">
      <w:pPr>
        <w:spacing w:after="0" w:line="240" w:lineRule="auto"/>
        <w:ind w:firstLine="709"/>
        <w:jc w:val="both"/>
        <w:rPr>
          <w:szCs w:val="24"/>
        </w:rPr>
      </w:pPr>
    </w:p>
    <w:p w:rsidR="00505DE4" w:rsidRDefault="00505DE4" w:rsidP="00B519E9">
      <w:pPr>
        <w:spacing w:after="0" w:line="240" w:lineRule="auto"/>
        <w:ind w:firstLine="709"/>
        <w:jc w:val="both"/>
      </w:pPr>
      <w:r>
        <w:rPr>
          <w:szCs w:val="24"/>
        </w:rPr>
        <w:t xml:space="preserve">1. </w:t>
      </w:r>
      <w:proofErr w:type="gramStart"/>
      <w:r w:rsidR="00E012ED">
        <w:rPr>
          <w:szCs w:val="24"/>
        </w:rPr>
        <w:t xml:space="preserve">Предложенный </w:t>
      </w:r>
      <w:r>
        <w:t>Пенсионным фондом России</w:t>
      </w:r>
      <w:r>
        <w:rPr>
          <w:szCs w:val="24"/>
        </w:rPr>
        <w:t xml:space="preserve"> </w:t>
      </w:r>
      <w:r w:rsidR="00E012ED">
        <w:rPr>
          <w:szCs w:val="24"/>
        </w:rPr>
        <w:t xml:space="preserve">пенсионный калькулятор позволяет </w:t>
      </w:r>
      <w:r>
        <w:rPr>
          <w:szCs w:val="24"/>
        </w:rPr>
        <w:t>точнее понять</w:t>
      </w:r>
      <w:r>
        <w:t xml:space="preserve"> основные закономерности новой пенсионной формулы, и влияние ее основных параметров: наличия «белой» заработной платы, влияния тарифа на формирование накопительной пенсии, результатов стимулирования более поздне</w:t>
      </w:r>
      <w:r w:rsidR="009D3EF8">
        <w:t>го</w:t>
      </w:r>
      <w:r>
        <w:t xml:space="preserve"> по сравнению с установленным пенсионным возрастом (60 лет для мужчин и 55 лет для женщин) сроком выхода на пенсию.</w:t>
      </w:r>
      <w:proofErr w:type="gramEnd"/>
    </w:p>
    <w:p w:rsidR="00505DE4" w:rsidRPr="00505DE4" w:rsidRDefault="00505DE4" w:rsidP="00505DE4">
      <w:pPr>
        <w:spacing w:after="0" w:line="240" w:lineRule="auto"/>
        <w:ind w:firstLine="709"/>
        <w:jc w:val="both"/>
      </w:pPr>
      <w:r>
        <w:t xml:space="preserve">2. В случае малой величины выработанного застрахованным лицом индивидуального пенсионного коэффициента (от 30 до 56) </w:t>
      </w:r>
      <w:r w:rsidRPr="00505DE4">
        <w:t xml:space="preserve">заработанная застрахованным лицом пенсия оказывается меньше размера социальной пенсии (пенсии, не заработанной, а назначаемой в случае невыполнения условия назначения страховой пенсии). </w:t>
      </w:r>
    </w:p>
    <w:p w:rsidR="00A25683" w:rsidRDefault="00A25683" w:rsidP="00A25683">
      <w:pPr>
        <w:spacing w:after="0" w:line="240" w:lineRule="auto"/>
        <w:ind w:firstLine="709"/>
        <w:jc w:val="both"/>
      </w:pPr>
      <w:r w:rsidRPr="00A25683">
        <w:t>3. Расчеты по пенсионному калькулятору ПФР не вполне соответствует утверждению, что они делаются для условий 2014 года.</w:t>
      </w:r>
      <w:r>
        <w:t xml:space="preserve"> </w:t>
      </w:r>
    </w:p>
    <w:p w:rsidR="00A25683" w:rsidRPr="00A25683" w:rsidRDefault="00A25683" w:rsidP="00A25683">
      <w:pPr>
        <w:spacing w:after="0" w:line="240" w:lineRule="auto"/>
        <w:ind w:firstLine="709"/>
        <w:jc w:val="both"/>
      </w:pPr>
      <w:r>
        <w:t xml:space="preserve">Заложенная предельная величина </w:t>
      </w:r>
      <w:r w:rsidRPr="002A7EA7">
        <w:t>базы для начисления страховых взносов</w:t>
      </w:r>
      <w:r>
        <w:t xml:space="preserve"> на ОПС (912 тыс. руб. - зарплата 76000 руб.) не соответствует величинам для 2014 года (624 тыс. рублей - размер зарплаты 52000 руб.) и для 2015 года (711 тыс. рублей - зарплата 59233 руб.). Это приводит к занижению полученных значений ИПК и расчетных размеров пенсий</w:t>
      </w:r>
    </w:p>
    <w:p w:rsidR="00505DE4" w:rsidRDefault="00A25683" w:rsidP="00B519E9">
      <w:pPr>
        <w:spacing w:after="0" w:line="240" w:lineRule="auto"/>
        <w:ind w:firstLine="709"/>
        <w:jc w:val="both"/>
      </w:pPr>
      <w:r>
        <w:t>4. Даже при принятых, весьма консервативных, предположениях о доходности накопительной пенсии расчеты с помощью калькулятора ПФР показывают хотя и чисто символическое, но преимущество варианта с сохранением накопительной пенсии.</w:t>
      </w:r>
      <w:r w:rsidR="00F71B0E">
        <w:t xml:space="preserve"> Преимущество существенно увеличивается при учете реально </w:t>
      </w:r>
      <w:proofErr w:type="gramStart"/>
      <w:r w:rsidR="00F71B0E">
        <w:t>полученной</w:t>
      </w:r>
      <w:proofErr w:type="gramEnd"/>
      <w:r w:rsidR="00F71B0E">
        <w:t xml:space="preserve"> негосударственными пенсионными фондами </w:t>
      </w:r>
      <w:proofErr w:type="spellStart"/>
      <w:r w:rsidR="00F71B0E">
        <w:t>дохдности</w:t>
      </w:r>
      <w:proofErr w:type="spellEnd"/>
      <w:r w:rsidR="00F71B0E">
        <w:t>.</w:t>
      </w:r>
    </w:p>
    <w:p w:rsidR="009D3EF8" w:rsidRPr="009D3EF8" w:rsidRDefault="009D3EF8" w:rsidP="009D3EF8">
      <w:pPr>
        <w:spacing w:after="0" w:line="240" w:lineRule="auto"/>
        <w:ind w:firstLine="709"/>
        <w:jc w:val="both"/>
      </w:pPr>
      <w:r w:rsidRPr="009D3EF8">
        <w:t>Это лишний раз подтверждает сомнительность усиленно пропагандируемого Пенсионным фондом России тезиса о выгодности для застрахованных лиц отказа от накопительной пенсии.</w:t>
      </w:r>
    </w:p>
    <w:p w:rsidR="00E012ED" w:rsidRDefault="009D3EF8" w:rsidP="00B519E9">
      <w:pPr>
        <w:spacing w:after="0" w:line="240" w:lineRule="auto"/>
        <w:ind w:firstLine="709"/>
        <w:jc w:val="both"/>
        <w:rPr>
          <w:szCs w:val="24"/>
        </w:rPr>
      </w:pPr>
      <w:r>
        <w:t xml:space="preserve">5. </w:t>
      </w:r>
      <w:proofErr w:type="gramStart"/>
      <w:r>
        <w:t>Наиболее эффективной мерой повышения размера страховой пенсии оказывается стимулирования более позднего по сравнению с установленным пенсионным возрастом (60 лет для мужчин и 55 лет для женщин) сроком выхода на пенсию, однако эта мера является фактическим повышением пенсионного возраста, от которого отрекаются представители социального блока.</w:t>
      </w:r>
      <w:r w:rsidR="00505DE4">
        <w:t xml:space="preserve"> </w:t>
      </w:r>
      <w:proofErr w:type="gramEnd"/>
    </w:p>
    <w:sectPr w:rsidR="00E012ED" w:rsidSect="00E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9C0"/>
    <w:multiLevelType w:val="hybridMultilevel"/>
    <w:tmpl w:val="AA367B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775396"/>
    <w:multiLevelType w:val="hybridMultilevel"/>
    <w:tmpl w:val="C3AC30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7E2A86"/>
    <w:multiLevelType w:val="hybridMultilevel"/>
    <w:tmpl w:val="4108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52"/>
    <w:rsid w:val="00030EEC"/>
    <w:rsid w:val="0003211E"/>
    <w:rsid w:val="000A3349"/>
    <w:rsid w:val="0011100C"/>
    <w:rsid w:val="00127DFB"/>
    <w:rsid w:val="001371F1"/>
    <w:rsid w:val="00191CE1"/>
    <w:rsid w:val="001D1B7A"/>
    <w:rsid w:val="001F2C52"/>
    <w:rsid w:val="00200604"/>
    <w:rsid w:val="002161FC"/>
    <w:rsid w:val="00256398"/>
    <w:rsid w:val="002A43F5"/>
    <w:rsid w:val="002D4819"/>
    <w:rsid w:val="002F408C"/>
    <w:rsid w:val="0030660F"/>
    <w:rsid w:val="00315391"/>
    <w:rsid w:val="00330FFE"/>
    <w:rsid w:val="003A3601"/>
    <w:rsid w:val="003E594A"/>
    <w:rsid w:val="003F3EED"/>
    <w:rsid w:val="00455E80"/>
    <w:rsid w:val="00481781"/>
    <w:rsid w:val="00483E47"/>
    <w:rsid w:val="00505DE4"/>
    <w:rsid w:val="00521091"/>
    <w:rsid w:val="005A4497"/>
    <w:rsid w:val="005C58BC"/>
    <w:rsid w:val="005D058E"/>
    <w:rsid w:val="0062566C"/>
    <w:rsid w:val="00674E1A"/>
    <w:rsid w:val="00680E99"/>
    <w:rsid w:val="0075710E"/>
    <w:rsid w:val="007C69CE"/>
    <w:rsid w:val="007D3622"/>
    <w:rsid w:val="00843BBA"/>
    <w:rsid w:val="008718BD"/>
    <w:rsid w:val="008B3CDC"/>
    <w:rsid w:val="008C2916"/>
    <w:rsid w:val="008D6EF7"/>
    <w:rsid w:val="00930827"/>
    <w:rsid w:val="009424F4"/>
    <w:rsid w:val="00955F76"/>
    <w:rsid w:val="0098344C"/>
    <w:rsid w:val="009933B2"/>
    <w:rsid w:val="009D3EF8"/>
    <w:rsid w:val="00A25683"/>
    <w:rsid w:val="00A451B2"/>
    <w:rsid w:val="00A814B7"/>
    <w:rsid w:val="00AF159E"/>
    <w:rsid w:val="00B078B8"/>
    <w:rsid w:val="00B519E9"/>
    <w:rsid w:val="00B534A6"/>
    <w:rsid w:val="00B8330C"/>
    <w:rsid w:val="00BB1838"/>
    <w:rsid w:val="00BC2EA5"/>
    <w:rsid w:val="00BE4BFF"/>
    <w:rsid w:val="00C07D91"/>
    <w:rsid w:val="00C1255A"/>
    <w:rsid w:val="00CA013B"/>
    <w:rsid w:val="00CE0E46"/>
    <w:rsid w:val="00CE212A"/>
    <w:rsid w:val="00D05630"/>
    <w:rsid w:val="00D14D68"/>
    <w:rsid w:val="00D21562"/>
    <w:rsid w:val="00D80407"/>
    <w:rsid w:val="00DD44E7"/>
    <w:rsid w:val="00DF4C55"/>
    <w:rsid w:val="00E012ED"/>
    <w:rsid w:val="00E02BEE"/>
    <w:rsid w:val="00E55417"/>
    <w:rsid w:val="00EA7131"/>
    <w:rsid w:val="00ED56DF"/>
    <w:rsid w:val="00EF44CA"/>
    <w:rsid w:val="00F3409C"/>
    <w:rsid w:val="00F71B0E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A3349"/>
    <w:pPr>
      <w:ind w:left="720"/>
      <w:contextualSpacing/>
    </w:pPr>
    <w:rPr>
      <w:rFonts w:asciiTheme="minorHAnsi" w:hAnsiTheme="minorHAnsi" w:cstheme="minorBidi"/>
      <w:szCs w:val="22"/>
    </w:rPr>
  </w:style>
  <w:style w:type="character" w:styleId="a5">
    <w:name w:val="Strong"/>
    <w:basedOn w:val="a0"/>
    <w:uiPriority w:val="22"/>
    <w:qFormat/>
    <w:rsid w:val="000A3349"/>
    <w:rPr>
      <w:b/>
      <w:bCs/>
    </w:rPr>
  </w:style>
  <w:style w:type="paragraph" w:customStyle="1" w:styleId="fem11">
    <w:name w:val="fem_11"/>
    <w:basedOn w:val="a"/>
    <w:rsid w:val="002A43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A43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5210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A3349"/>
    <w:pPr>
      <w:ind w:left="720"/>
      <w:contextualSpacing/>
    </w:pPr>
    <w:rPr>
      <w:rFonts w:asciiTheme="minorHAnsi" w:hAnsiTheme="minorHAnsi" w:cstheme="minorBidi"/>
      <w:szCs w:val="22"/>
    </w:rPr>
  </w:style>
  <w:style w:type="character" w:styleId="a5">
    <w:name w:val="Strong"/>
    <w:basedOn w:val="a0"/>
    <w:uiPriority w:val="22"/>
    <w:qFormat/>
    <w:rsid w:val="000A3349"/>
    <w:rPr>
      <w:b/>
      <w:bCs/>
    </w:rPr>
  </w:style>
  <w:style w:type="paragraph" w:customStyle="1" w:styleId="fem11">
    <w:name w:val="fem_11"/>
    <w:basedOn w:val="a"/>
    <w:rsid w:val="002A43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A43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5210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pfrf.ru/spec/raschet_pen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%20&#1052;&#1086;&#1076;&#1077;&#1083;&#1080;\4&#1042;%20&#1053;&#1072;&#1082;&#1086;&#1087;&#1083;&#1077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%20&#1052;&#1086;&#1076;&#1077;&#1083;&#1080;\4&#1042;%20&#1053;&#1072;&#1082;&#1086;&#1087;&#1083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Лист2!$A$13</c:f>
              <c:strCache>
                <c:ptCount val="1"/>
                <c:pt idx="0">
                  <c:v>Размер пенсии (руб.)</c:v>
                </c:pt>
              </c:strCache>
            </c:strRef>
          </c:tx>
          <c:marker>
            <c:symbol val="none"/>
          </c:marker>
          <c:cat>
            <c:numRef>
              <c:f>Лист2!$B$11:$L$11</c:f>
              <c:numCache>
                <c:formatCode>General</c:formatCode>
                <c:ptCount val="11"/>
                <c:pt idx="0">
                  <c:v>9500</c:v>
                </c:pt>
                <c:pt idx="1">
                  <c:v>19000</c:v>
                </c:pt>
                <c:pt idx="2">
                  <c:v>28500</c:v>
                </c:pt>
                <c:pt idx="3">
                  <c:v>38000</c:v>
                </c:pt>
                <c:pt idx="4">
                  <c:v>47500</c:v>
                </c:pt>
                <c:pt idx="5">
                  <c:v>57000</c:v>
                </c:pt>
                <c:pt idx="6">
                  <c:v>66500</c:v>
                </c:pt>
                <c:pt idx="7">
                  <c:v>76000</c:v>
                </c:pt>
                <c:pt idx="8">
                  <c:v>85500</c:v>
                </c:pt>
                <c:pt idx="9">
                  <c:v>95000</c:v>
                </c:pt>
                <c:pt idx="10">
                  <c:v>104500</c:v>
                </c:pt>
              </c:numCache>
            </c:numRef>
          </c:cat>
          <c:val>
            <c:numRef>
              <c:f>Лист2!$B$13:$L$13</c:f>
              <c:numCache>
                <c:formatCode>General</c:formatCode>
                <c:ptCount val="11"/>
                <c:pt idx="0">
                  <c:v>6710</c:v>
                </c:pt>
                <c:pt idx="1">
                  <c:v>9509</c:v>
                </c:pt>
                <c:pt idx="2">
                  <c:v>12308</c:v>
                </c:pt>
                <c:pt idx="3">
                  <c:v>15107</c:v>
                </c:pt>
                <c:pt idx="4">
                  <c:v>17907</c:v>
                </c:pt>
                <c:pt idx="5">
                  <c:v>20706</c:v>
                </c:pt>
                <c:pt idx="6">
                  <c:v>23505</c:v>
                </c:pt>
                <c:pt idx="7">
                  <c:v>26304</c:v>
                </c:pt>
                <c:pt idx="8">
                  <c:v>26345</c:v>
                </c:pt>
                <c:pt idx="9">
                  <c:v>26345</c:v>
                </c:pt>
                <c:pt idx="10">
                  <c:v>26345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87744"/>
        <c:axId val="156289280"/>
      </c:lineChart>
      <c:lineChart>
        <c:grouping val="standard"/>
        <c:varyColors val="0"/>
        <c:ser>
          <c:idx val="0"/>
          <c:order val="0"/>
          <c:tx>
            <c:strRef>
              <c:f>Лист2!$A$12</c:f>
              <c:strCache>
                <c:ptCount val="1"/>
                <c:pt idx="0">
                  <c:v>ИПК</c:v>
                </c:pt>
              </c:strCache>
            </c:strRef>
          </c:tx>
          <c:marker>
            <c:symbol val="none"/>
          </c:marker>
          <c:cat>
            <c:numRef>
              <c:f>Лист2!$B$11:$L$11</c:f>
              <c:numCache>
                <c:formatCode>General</c:formatCode>
                <c:ptCount val="11"/>
                <c:pt idx="0">
                  <c:v>9500</c:v>
                </c:pt>
                <c:pt idx="1">
                  <c:v>19000</c:v>
                </c:pt>
                <c:pt idx="2">
                  <c:v>28500</c:v>
                </c:pt>
                <c:pt idx="3">
                  <c:v>38000</c:v>
                </c:pt>
                <c:pt idx="4">
                  <c:v>47500</c:v>
                </c:pt>
                <c:pt idx="5">
                  <c:v>57000</c:v>
                </c:pt>
                <c:pt idx="6">
                  <c:v>66500</c:v>
                </c:pt>
                <c:pt idx="7">
                  <c:v>76000</c:v>
                </c:pt>
                <c:pt idx="8">
                  <c:v>85500</c:v>
                </c:pt>
                <c:pt idx="9">
                  <c:v>95000</c:v>
                </c:pt>
                <c:pt idx="10">
                  <c:v>104500</c:v>
                </c:pt>
              </c:numCache>
            </c:numRef>
          </c:cat>
          <c:val>
            <c:numRef>
              <c:f>Лист2!$B$12:$L$12</c:f>
              <c:numCache>
                <c:formatCode>General</c:formatCode>
                <c:ptCount val="11"/>
                <c:pt idx="0">
                  <c:v>43.67</c:v>
                </c:pt>
                <c:pt idx="1">
                  <c:v>87.34</c:v>
                </c:pt>
                <c:pt idx="2">
                  <c:v>131.01</c:v>
                </c:pt>
                <c:pt idx="3">
                  <c:v>174.68</c:v>
                </c:pt>
                <c:pt idx="4">
                  <c:v>218.35000000000008</c:v>
                </c:pt>
                <c:pt idx="5">
                  <c:v>262.02</c:v>
                </c:pt>
                <c:pt idx="6">
                  <c:v>305.69</c:v>
                </c:pt>
                <c:pt idx="7">
                  <c:v>349.36</c:v>
                </c:pt>
                <c:pt idx="8">
                  <c:v>350</c:v>
                </c:pt>
                <c:pt idx="9">
                  <c:v>350</c:v>
                </c:pt>
                <c:pt idx="10">
                  <c:v>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92608"/>
        <c:axId val="156291072"/>
      </c:lineChart>
      <c:catAx>
        <c:axId val="15628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289280"/>
        <c:crosses val="autoZero"/>
        <c:auto val="1"/>
        <c:lblAlgn val="ctr"/>
        <c:lblOffset val="100"/>
        <c:noMultiLvlLbl val="0"/>
      </c:catAx>
      <c:valAx>
        <c:axId val="15628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87744"/>
        <c:crosses val="autoZero"/>
        <c:crossBetween val="between"/>
      </c:valAx>
      <c:valAx>
        <c:axId val="1562910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56292608"/>
        <c:crosses val="max"/>
        <c:crossBetween val="between"/>
      </c:valAx>
      <c:catAx>
        <c:axId val="156292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629107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 i="0"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Лист2!$A$4</c:f>
              <c:strCache>
                <c:ptCount val="1"/>
                <c:pt idx="0">
                  <c:v>8500</c:v>
                </c:pt>
              </c:strCache>
            </c:strRef>
          </c:tx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Лист2!$B$3:$G$3</c:f>
              <c:strCache>
                <c:ptCount val="6"/>
                <c:pt idx="0">
                  <c:v>15 лет</c:v>
                </c:pt>
                <c:pt idx="1">
                  <c:v>20 лет</c:v>
                </c:pt>
                <c:pt idx="2">
                  <c:v>25 лет</c:v>
                </c:pt>
                <c:pt idx="3">
                  <c:v>30 лет</c:v>
                </c:pt>
                <c:pt idx="4">
                  <c:v>35 лет</c:v>
                </c:pt>
                <c:pt idx="5">
                  <c:v>40 лет</c:v>
                </c:pt>
              </c:strCache>
            </c:strRef>
          </c:cat>
          <c:val>
            <c:numRef>
              <c:f>Лист2!$B$4:$G$4</c:f>
              <c:numCache>
                <c:formatCode>0.00%</c:formatCode>
                <c:ptCount val="6"/>
                <c:pt idx="0">
                  <c:v>0.89149999999999996</c:v>
                </c:pt>
                <c:pt idx="1">
                  <c:v>0.89149999999999996</c:v>
                </c:pt>
                <c:pt idx="2">
                  <c:v>0.89149999999999996</c:v>
                </c:pt>
                <c:pt idx="3">
                  <c:v>0.7130000000000003</c:v>
                </c:pt>
                <c:pt idx="4">
                  <c:v>0.75500000000000034</c:v>
                </c:pt>
                <c:pt idx="5">
                  <c:v>0.79700000000000004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35000</c:v>
                </c:pt>
              </c:strCache>
            </c:strRef>
          </c:tx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Лист2!$B$3:$G$3</c:f>
              <c:strCache>
                <c:ptCount val="6"/>
                <c:pt idx="0">
                  <c:v>15 лет</c:v>
                </c:pt>
                <c:pt idx="1">
                  <c:v>20 лет</c:v>
                </c:pt>
                <c:pt idx="2">
                  <c:v>25 лет</c:v>
                </c:pt>
                <c:pt idx="3">
                  <c:v>30 лет</c:v>
                </c:pt>
                <c:pt idx="4">
                  <c:v>35 лет</c:v>
                </c:pt>
                <c:pt idx="5">
                  <c:v>40 лет</c:v>
                </c:pt>
              </c:strCache>
            </c:strRef>
          </c:cat>
          <c:val>
            <c:numRef>
              <c:f>Лист2!$B$5:$G$5</c:f>
              <c:numCache>
                <c:formatCode>0.00%</c:formatCode>
                <c:ptCount val="6"/>
                <c:pt idx="0">
                  <c:v>0.23800000000000004</c:v>
                </c:pt>
                <c:pt idx="1">
                  <c:v>0.28000000000000008</c:v>
                </c:pt>
                <c:pt idx="2">
                  <c:v>0.32200000000000017</c:v>
                </c:pt>
                <c:pt idx="3">
                  <c:v>0.36400000000000021</c:v>
                </c:pt>
                <c:pt idx="4">
                  <c:v>0.40600000000000008</c:v>
                </c:pt>
                <c:pt idx="5">
                  <c:v>0.44800000000000001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Лист2!$A$6</c:f>
              <c:strCache>
                <c:ptCount val="1"/>
                <c:pt idx="0">
                  <c:v>52000</c:v>
                </c:pt>
              </c:strCache>
            </c:strRef>
          </c:tx>
          <c:marker>
            <c:symbol val="none"/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Лист2!$B$3:$G$3</c:f>
              <c:strCache>
                <c:ptCount val="6"/>
                <c:pt idx="0">
                  <c:v>15 лет</c:v>
                </c:pt>
                <c:pt idx="1">
                  <c:v>20 лет</c:v>
                </c:pt>
                <c:pt idx="2">
                  <c:v>25 лет</c:v>
                </c:pt>
                <c:pt idx="3">
                  <c:v>30 лет</c:v>
                </c:pt>
                <c:pt idx="4">
                  <c:v>35 лет</c:v>
                </c:pt>
                <c:pt idx="5">
                  <c:v>40 лет</c:v>
                </c:pt>
              </c:strCache>
            </c:strRef>
          </c:cat>
          <c:val>
            <c:numRef>
              <c:f>Лист2!$B$6:$G$6</c:f>
              <c:numCache>
                <c:formatCode>0.00%</c:formatCode>
                <c:ptCount val="6"/>
                <c:pt idx="0">
                  <c:v>0.21000000000000008</c:v>
                </c:pt>
                <c:pt idx="1">
                  <c:v>0.24400000000000008</c:v>
                </c:pt>
                <c:pt idx="2">
                  <c:v>0.28570000000000001</c:v>
                </c:pt>
                <c:pt idx="3">
                  <c:v>0.32780000000000026</c:v>
                </c:pt>
                <c:pt idx="4">
                  <c:v>0.36980000000000024</c:v>
                </c:pt>
                <c:pt idx="5">
                  <c:v>0.41190000000000021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Лист2!$A$7</c:f>
              <c:strCache>
                <c:ptCount val="1"/>
                <c:pt idx="0">
                  <c:v>100000</c:v>
                </c:pt>
              </c:strCache>
            </c:strRef>
          </c:tx>
          <c:marker>
            <c:symbol val="none"/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Лист2!$B$3:$G$3</c:f>
              <c:strCache>
                <c:ptCount val="6"/>
                <c:pt idx="0">
                  <c:v>15 лет</c:v>
                </c:pt>
                <c:pt idx="1">
                  <c:v>20 лет</c:v>
                </c:pt>
                <c:pt idx="2">
                  <c:v>25 лет</c:v>
                </c:pt>
                <c:pt idx="3">
                  <c:v>30 лет</c:v>
                </c:pt>
                <c:pt idx="4">
                  <c:v>35 лет</c:v>
                </c:pt>
                <c:pt idx="5">
                  <c:v>40 лет</c:v>
                </c:pt>
              </c:strCache>
            </c:strRef>
          </c:cat>
          <c:val>
            <c:numRef>
              <c:f>Лист2!$B$7:$G$7</c:f>
              <c:numCache>
                <c:formatCode>0.00%</c:formatCode>
                <c:ptCount val="6"/>
                <c:pt idx="0">
                  <c:v>0.13500000000000001</c:v>
                </c:pt>
                <c:pt idx="1">
                  <c:v>0.16700000000000001</c:v>
                </c:pt>
                <c:pt idx="2">
                  <c:v>0.19900000000000001</c:v>
                </c:pt>
                <c:pt idx="3">
                  <c:v>0.23100000000000001</c:v>
                </c:pt>
                <c:pt idx="4">
                  <c:v>0.26300000000000001</c:v>
                </c:pt>
                <c:pt idx="5">
                  <c:v>0.29500000000000015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150016"/>
        <c:axId val="154151552"/>
      </c:lineChart>
      <c:catAx>
        <c:axId val="15415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4151552"/>
        <c:crosses val="autoZero"/>
        <c:auto val="1"/>
        <c:lblAlgn val="ctr"/>
        <c:lblOffset val="100"/>
        <c:noMultiLvlLbl val="0"/>
      </c:catAx>
      <c:valAx>
        <c:axId val="1541515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4150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 i="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 Алексей Константинович</cp:lastModifiedBy>
  <cp:revision>3</cp:revision>
  <cp:lastPrinted>2014-11-17T08:26:00Z</cp:lastPrinted>
  <dcterms:created xsi:type="dcterms:W3CDTF">2014-11-17T09:32:00Z</dcterms:created>
  <dcterms:modified xsi:type="dcterms:W3CDTF">2014-12-15T07:35:00Z</dcterms:modified>
</cp:coreProperties>
</file>