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74" w:rsidRDefault="00E56674" w:rsidP="000C0F7A">
      <w:pPr>
        <w:spacing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en-GB" w:eastAsia="ru-RU"/>
        </w:rPr>
      </w:pPr>
      <w:r w:rsidRPr="007C45F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Мировые тенденции инвестирования </w:t>
      </w:r>
      <w:bookmarkStart w:id="0" w:name="_GoBack"/>
      <w:bookmarkEnd w:id="0"/>
      <w:r w:rsidRPr="007C45FD">
        <w:rPr>
          <w:rFonts w:ascii="Times New Roman" w:hAnsi="Times New Roman"/>
          <w:b/>
          <w:noProof/>
          <w:sz w:val="28"/>
          <w:szCs w:val="28"/>
          <w:lang w:eastAsia="ru-RU"/>
        </w:rPr>
        <w:t>пенсионных средств в условиях вызовов внешней среды</w:t>
      </w:r>
    </w:p>
    <w:p w:rsidR="000C0F7A" w:rsidRDefault="000C0F7A" w:rsidP="00E56674">
      <w:pPr>
        <w:spacing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en-GB" w:eastAsia="ru-RU"/>
        </w:rPr>
      </w:pPr>
    </w:p>
    <w:p w:rsidR="000C0F7A" w:rsidRPr="000C0F7A" w:rsidRDefault="000C0F7A" w:rsidP="000C0F7A">
      <w:pPr>
        <w:spacing w:line="360" w:lineRule="auto"/>
        <w:ind w:firstLine="709"/>
        <w:jc w:val="right"/>
        <w:rPr>
          <w:rFonts w:ascii="Times New Roman" w:hAnsi="Times New Roman"/>
          <w:b/>
          <w:noProof/>
          <w:sz w:val="28"/>
          <w:szCs w:val="28"/>
          <w:lang w:val="en-GB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7207" cy="1628775"/>
            <wp:effectExtent l="0" t="0" r="0" b="0"/>
            <wp:docPr id="9" name="Рисунок 9" descr="C:\Users\AKomarov\Desktop\Журнал новый номер\Номер 24(4)\фото Хме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esktop\Журнал новый номер\Номер 24(4)\фото Хмеле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7A" w:rsidRPr="000C0F7A" w:rsidRDefault="00E56674" w:rsidP="000C0F7A">
      <w:pPr>
        <w:spacing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  <w:lang w:val="en-GB" w:eastAsia="ru-RU"/>
        </w:rPr>
      </w:pPr>
      <w:r w:rsidRPr="000C0F7A">
        <w:rPr>
          <w:rFonts w:ascii="Times New Roman" w:hAnsi="Times New Roman"/>
          <w:i/>
          <w:noProof/>
          <w:sz w:val="24"/>
          <w:szCs w:val="24"/>
          <w:lang w:eastAsia="ru-RU"/>
        </w:rPr>
        <w:t>Хмелёв Антон Александрович</w:t>
      </w:r>
      <w:r w:rsidR="000C0F7A" w:rsidRPr="000C0F7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, </w:t>
      </w:r>
    </w:p>
    <w:p w:rsidR="000C0F7A" w:rsidRPr="000C0F7A" w:rsidRDefault="000C0F7A" w:rsidP="000C0F7A">
      <w:pPr>
        <w:spacing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0C0F7A">
        <w:rPr>
          <w:rFonts w:ascii="Times New Roman" w:hAnsi="Times New Roman"/>
          <w:i/>
          <w:sz w:val="24"/>
          <w:szCs w:val="24"/>
        </w:rPr>
        <w:t>А</w:t>
      </w:r>
      <w:r w:rsidRPr="000C0F7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налитик Аналитического отдела </w:t>
      </w:r>
    </w:p>
    <w:p w:rsidR="000C0F7A" w:rsidRPr="000C0F7A" w:rsidRDefault="000C0F7A" w:rsidP="000C0F7A">
      <w:pPr>
        <w:spacing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0C0F7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Департамента организации и процесса инвестирования </w:t>
      </w:r>
    </w:p>
    <w:p w:rsidR="00E56674" w:rsidRPr="000C0F7A" w:rsidRDefault="000C0F7A" w:rsidP="000C0F7A">
      <w:pPr>
        <w:spacing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0C0F7A">
        <w:rPr>
          <w:rFonts w:ascii="Times New Roman" w:hAnsi="Times New Roman"/>
          <w:i/>
          <w:noProof/>
          <w:sz w:val="24"/>
          <w:szCs w:val="24"/>
          <w:lang w:eastAsia="ru-RU"/>
        </w:rPr>
        <w:t>НПФ Благосостояние</w:t>
      </w:r>
      <w:r w:rsidR="00E56674" w:rsidRPr="000C0F7A">
        <w:rPr>
          <w:rStyle w:val="a8"/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</w:p>
    <w:p w:rsidR="000C0F7A" w:rsidRDefault="000C0F7A" w:rsidP="000C0F7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val="en-GB"/>
        </w:rPr>
      </w:pPr>
    </w:p>
    <w:p w:rsidR="00E56674" w:rsidRPr="000C0F7A" w:rsidRDefault="00E56674" w:rsidP="000C0F7A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sz w:val="27"/>
          <w:szCs w:val="27"/>
        </w:rPr>
        <w:t xml:space="preserve">Сегодня пенсионные фонды сталкиваются с тремя базовыми вызовами внешней среды: снижением процентных ставок, ростом продолжительности жизни населения стран ОЭСР и программами количественного смягчения крупнейших центральных банков мира. Найдут ли пенсионные фонды выход из сложившейся ситуации? Анализ исторических данных и докладов ведущих пенсионных консультантов показал, что в среднесрочной перспективе фонды прибегнут к страхованию рисков процентной ставки, инфляции и продолжительности жизни. В долгосрочной же перспективе фонды будут совершенствовать инвестиционную экспертизу и систему </w:t>
      </w:r>
      <w:proofErr w:type="gramStart"/>
      <w:r w:rsidRPr="000C0F7A">
        <w:rPr>
          <w:rFonts w:ascii="Times New Roman" w:hAnsi="Times New Roman"/>
          <w:sz w:val="27"/>
          <w:szCs w:val="27"/>
        </w:rPr>
        <w:t>риск-менеджмента</w:t>
      </w:r>
      <w:proofErr w:type="gramEnd"/>
      <w:r w:rsidRPr="000C0F7A">
        <w:rPr>
          <w:rFonts w:ascii="Times New Roman" w:hAnsi="Times New Roman"/>
          <w:sz w:val="27"/>
          <w:szCs w:val="27"/>
        </w:rPr>
        <w:t xml:space="preserve">, что позволит оперативно и комплексно реагировать на вызовы внешней среды. </w:t>
      </w:r>
    </w:p>
    <w:p w:rsidR="006B62F6" w:rsidRPr="000C0F7A" w:rsidRDefault="002F7F36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>Специфика инвестирования пенсионных средств определяется</w:t>
      </w:r>
      <w:r w:rsidR="00F139BB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BC26E8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долгосрочным характером </w:t>
      </w:r>
      <w:r w:rsidR="00F139BB" w:rsidRPr="000C0F7A">
        <w:rPr>
          <w:rFonts w:ascii="Times New Roman" w:hAnsi="Times New Roman"/>
          <w:noProof/>
          <w:sz w:val="27"/>
          <w:szCs w:val="27"/>
          <w:lang w:eastAsia="ru-RU"/>
        </w:rPr>
        <w:t>деятельности</w:t>
      </w:r>
      <w:r w:rsidR="00BE7B18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5034EA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пенсионных фондов </w:t>
      </w:r>
      <w:r w:rsidR="00BC26E8" w:rsidRPr="000C0F7A">
        <w:rPr>
          <w:rFonts w:ascii="Times New Roman" w:hAnsi="Times New Roman"/>
          <w:noProof/>
          <w:sz w:val="27"/>
          <w:szCs w:val="27"/>
          <w:lang w:eastAsia="ru-RU"/>
        </w:rPr>
        <w:t>и, соответственно, необходимостью учета догосрочных глобальных рыночных трендов.</w:t>
      </w:r>
      <w:r w:rsidR="0061029E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BC26E8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На современном этапе пенсионные фонды функционируют в условиях действия следующих основных трендов, или вызовов </w:t>
      </w:r>
      <w:r w:rsidR="006B62F6" w:rsidRPr="000C0F7A">
        <w:rPr>
          <w:rFonts w:ascii="Times New Roman" w:hAnsi="Times New Roman"/>
          <w:noProof/>
          <w:sz w:val="27"/>
          <w:szCs w:val="27"/>
          <w:lang w:eastAsia="ru-RU"/>
        </w:rPr>
        <w:t>внешней</w:t>
      </w:r>
      <w:r w:rsidR="006B6CEB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6B62F6" w:rsidRPr="000C0F7A">
        <w:rPr>
          <w:rFonts w:ascii="Times New Roman" w:hAnsi="Times New Roman"/>
          <w:noProof/>
          <w:sz w:val="27"/>
          <w:szCs w:val="27"/>
          <w:lang w:eastAsia="ru-RU"/>
        </w:rPr>
        <w:t>среды.</w:t>
      </w:r>
    </w:p>
    <w:p w:rsidR="0061029E" w:rsidRDefault="006B62F6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val="en-GB"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lastRenderedPageBreak/>
        <w:t>Первый вызов – историческое снижение процентных ставок</w:t>
      </w:r>
      <w:r w:rsidR="00620D15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на пространстве ОЭСР, которое продолжается уже не </w:t>
      </w:r>
      <w:r w:rsidR="00672AE4" w:rsidRPr="000C0F7A">
        <w:rPr>
          <w:rFonts w:ascii="Times New Roman" w:hAnsi="Times New Roman"/>
          <w:noProof/>
          <w:sz w:val="27"/>
          <w:szCs w:val="27"/>
          <w:lang w:eastAsia="ru-RU"/>
        </w:rPr>
        <w:t>одно десятилетие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672AE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Как следствие, реальная доходность инвестирования пенсионных средств имеет устойчивую тенденцию к снижению не только в ЕС, но и в США (см. Рис.1 и Рис.2)</w:t>
      </w:r>
      <w:r w:rsidR="007D50CE"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620D15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61029E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</w:p>
    <w:p w:rsidR="000C0F7A" w:rsidRPr="000C0F7A" w:rsidRDefault="000C0F7A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val="en-GB" w:eastAsia="ru-RU"/>
        </w:rPr>
      </w:pPr>
    </w:p>
    <w:p w:rsidR="00F139BB" w:rsidRPr="00275AD2" w:rsidRDefault="00672AE4" w:rsidP="007C730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75AD2">
        <w:rPr>
          <w:rFonts w:ascii="Times New Roman" w:hAnsi="Times New Roman"/>
          <w:noProof/>
          <w:sz w:val="24"/>
          <w:szCs w:val="24"/>
          <w:lang w:eastAsia="ru-RU"/>
        </w:rPr>
        <w:t>Рис. 1</w:t>
      </w:r>
      <w:r w:rsidR="00275AD2" w:rsidRPr="00275AD2">
        <w:rPr>
          <w:rFonts w:ascii="Times New Roman" w:hAnsi="Times New Roman"/>
          <w:noProof/>
          <w:sz w:val="24"/>
          <w:szCs w:val="24"/>
          <w:lang w:eastAsia="ru-RU"/>
        </w:rPr>
        <w:t>. Тренд реальной доходности ПФ Нидерландов за 1986-2013</w:t>
      </w:r>
      <w:r w:rsidR="00E731D5">
        <w:rPr>
          <w:rStyle w:val="a8"/>
          <w:rFonts w:ascii="Times New Roman" w:hAnsi="Times New Roman"/>
          <w:noProof/>
          <w:sz w:val="24"/>
          <w:szCs w:val="24"/>
          <w:lang w:eastAsia="ru-RU"/>
        </w:rPr>
        <w:footnoteReference w:id="1"/>
      </w:r>
      <w:r w:rsidR="00275AD2" w:rsidRPr="00275AD2">
        <w:rPr>
          <w:rFonts w:ascii="Times New Roman" w:hAnsi="Times New Roman"/>
          <w:noProof/>
          <w:sz w:val="24"/>
          <w:szCs w:val="24"/>
          <w:lang w:eastAsia="ru-RU"/>
        </w:rPr>
        <w:t xml:space="preserve"> гг.</w:t>
      </w:r>
    </w:p>
    <w:p w:rsidR="004969B4" w:rsidRDefault="006E5934" w:rsidP="007C730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1E9E8F0" wp14:editId="459A0578">
            <wp:extent cx="4586177" cy="1878418"/>
            <wp:effectExtent l="0" t="0" r="5080" b="762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2AE4" w:rsidRPr="00275AD2" w:rsidRDefault="00672AE4" w:rsidP="009D575A">
      <w:pPr>
        <w:jc w:val="center"/>
        <w:rPr>
          <w:noProof/>
          <w:lang w:eastAsia="ru-RU"/>
        </w:rPr>
      </w:pPr>
      <w:r w:rsidRPr="00275AD2">
        <w:rPr>
          <w:rFonts w:ascii="Times New Roman" w:hAnsi="Times New Roman"/>
          <w:noProof/>
          <w:sz w:val="24"/>
          <w:szCs w:val="24"/>
          <w:lang w:eastAsia="ru-RU"/>
        </w:rPr>
        <w:t>Рис.</w:t>
      </w:r>
      <w:r w:rsidR="000D483C" w:rsidRPr="00275A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275AD2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="00C12C61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275AD2" w:rsidRPr="00275AD2">
        <w:rPr>
          <w:rFonts w:ascii="Times New Roman" w:hAnsi="Times New Roman"/>
          <w:noProof/>
          <w:sz w:val="24"/>
          <w:szCs w:val="24"/>
          <w:lang w:eastAsia="ru-RU"/>
        </w:rPr>
        <w:t xml:space="preserve"> Тренд реальной доходн</w:t>
      </w:r>
      <w:r w:rsidR="00F120B3">
        <w:rPr>
          <w:rFonts w:ascii="Times New Roman" w:hAnsi="Times New Roman"/>
          <w:noProof/>
          <w:sz w:val="24"/>
          <w:szCs w:val="24"/>
          <w:lang w:eastAsia="ru-RU"/>
        </w:rPr>
        <w:t xml:space="preserve">ости </w:t>
      </w:r>
      <w:r w:rsidR="00275AD2" w:rsidRPr="00275AD2">
        <w:rPr>
          <w:rFonts w:ascii="Times New Roman" w:hAnsi="Times New Roman"/>
          <w:noProof/>
          <w:sz w:val="24"/>
          <w:szCs w:val="24"/>
          <w:lang w:eastAsia="ru-RU"/>
        </w:rPr>
        <w:t>ПФ США (</w:t>
      </w:r>
      <w:r w:rsidR="00275AD2" w:rsidRPr="00275AD2">
        <w:rPr>
          <w:rFonts w:ascii="Times New Roman" w:hAnsi="Times New Roman"/>
          <w:noProof/>
          <w:sz w:val="24"/>
          <w:szCs w:val="24"/>
          <w:lang w:val="en-US" w:eastAsia="ru-RU"/>
        </w:rPr>
        <w:t>DB</w:t>
      </w:r>
      <w:r w:rsidR="00275AD2" w:rsidRPr="00275AD2">
        <w:rPr>
          <w:rFonts w:ascii="Times New Roman" w:hAnsi="Times New Roman"/>
          <w:noProof/>
          <w:sz w:val="24"/>
          <w:szCs w:val="24"/>
          <w:lang w:eastAsia="ru-RU"/>
        </w:rPr>
        <w:t>) за 1986-2014</w:t>
      </w:r>
      <w:r w:rsidR="003562E3">
        <w:rPr>
          <w:rStyle w:val="a8"/>
          <w:rFonts w:ascii="Times New Roman" w:hAnsi="Times New Roman"/>
          <w:noProof/>
          <w:sz w:val="24"/>
          <w:szCs w:val="24"/>
          <w:lang w:eastAsia="ru-RU"/>
        </w:rPr>
        <w:footnoteReference w:id="2"/>
      </w:r>
      <w:r w:rsidR="00275AD2" w:rsidRPr="00275AD2">
        <w:rPr>
          <w:rFonts w:ascii="Times New Roman" w:hAnsi="Times New Roman"/>
          <w:noProof/>
          <w:sz w:val="24"/>
          <w:szCs w:val="24"/>
          <w:lang w:eastAsia="ru-RU"/>
        </w:rPr>
        <w:t xml:space="preserve"> гг.</w:t>
      </w:r>
    </w:p>
    <w:p w:rsidR="007477B2" w:rsidRDefault="006E5934" w:rsidP="009D575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D0B4F8" wp14:editId="21BB68E9">
            <wp:extent cx="5940055" cy="2006009"/>
            <wp:effectExtent l="0" t="0" r="381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2AE4" w:rsidRPr="000C0F7A" w:rsidRDefault="00672AE4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Фундаментальная причина снижения процентных ставок кроется в </w:t>
      </w:r>
      <w:r w:rsidR="00DD38C5" w:rsidRPr="000C0F7A">
        <w:rPr>
          <w:rFonts w:ascii="Times New Roman" w:hAnsi="Times New Roman"/>
          <w:noProof/>
          <w:sz w:val="27"/>
          <w:szCs w:val="27"/>
          <w:lang w:eastAsia="ru-RU"/>
        </w:rPr>
        <w:t>несбалансированном использовании свободного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капитала</w:t>
      </w:r>
      <w:r w:rsidR="00DD38C5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: в условиях </w:t>
      </w:r>
      <w:r w:rsidR="005D123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высокой привлекательности спекулятивных финансовых операций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капитал </w:t>
      </w:r>
      <w:r w:rsidR="00321AA2" w:rsidRPr="000C0F7A">
        <w:rPr>
          <w:rFonts w:ascii="Times New Roman" w:hAnsi="Times New Roman"/>
          <w:noProof/>
          <w:sz w:val="27"/>
          <w:szCs w:val="27"/>
          <w:lang w:eastAsia="ru-RU"/>
        </w:rPr>
        <w:t>аккумулируется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на фондовых рынках</w:t>
      </w:r>
      <w:r w:rsidR="005D123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, что приводит к необусловленному фундаментальными факторами увеличению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стоимост</w:t>
      </w:r>
      <w:r w:rsidR="005D1239" w:rsidRPr="000C0F7A">
        <w:rPr>
          <w:rFonts w:ascii="Times New Roman" w:hAnsi="Times New Roman"/>
          <w:noProof/>
          <w:sz w:val="27"/>
          <w:szCs w:val="27"/>
          <w:lang w:eastAsia="ru-RU"/>
        </w:rPr>
        <w:t>и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активов</w:t>
      </w:r>
      <w:r w:rsidR="003C4CA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(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акций, гос.облигаций, корпоративных </w:t>
      </w:r>
      <w:r w:rsidR="000A5D12" w:rsidRPr="000C0F7A">
        <w:rPr>
          <w:rFonts w:ascii="Times New Roman" w:hAnsi="Times New Roman"/>
          <w:noProof/>
          <w:sz w:val="27"/>
          <w:szCs w:val="27"/>
          <w:lang w:eastAsia="ru-RU"/>
        </w:rPr>
        <w:t>бондов и альтернативных активов</w:t>
      </w:r>
      <w:r w:rsidR="003C4CA4" w:rsidRPr="000C0F7A">
        <w:rPr>
          <w:rFonts w:ascii="Times New Roman" w:hAnsi="Times New Roman"/>
          <w:noProof/>
          <w:sz w:val="27"/>
          <w:szCs w:val="27"/>
          <w:lang w:eastAsia="ru-RU"/>
        </w:rPr>
        <w:t>)</w:t>
      </w:r>
      <w:r w:rsidR="000A5D12" w:rsidRPr="000C0F7A">
        <w:rPr>
          <w:rFonts w:ascii="Times New Roman" w:hAnsi="Times New Roman"/>
          <w:noProof/>
          <w:sz w:val="27"/>
          <w:szCs w:val="27"/>
          <w:lang w:eastAsia="ru-RU"/>
        </w:rPr>
        <w:t>, что ведет к дальнейшему понижению ставок.</w:t>
      </w:r>
      <w:r w:rsidR="00F907E6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</w:p>
    <w:p w:rsidR="004847A5" w:rsidRDefault="004847A5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val="en-GB"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lastRenderedPageBreak/>
        <w:t>Второй вызов – рост продолжительности жизни в странах ОЭСР</w:t>
      </w:r>
      <w:r w:rsidR="007158FD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, который также </w:t>
      </w:r>
      <w:r w:rsidR="00321AA2" w:rsidRPr="000C0F7A">
        <w:rPr>
          <w:rFonts w:ascii="Times New Roman" w:hAnsi="Times New Roman"/>
          <w:noProof/>
          <w:sz w:val="27"/>
          <w:szCs w:val="27"/>
          <w:lang w:eastAsia="ru-RU"/>
        </w:rPr>
        <w:t>длится</w:t>
      </w:r>
      <w:r w:rsidR="007158FD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несколько десятилетий</w:t>
      </w:r>
      <w:r w:rsidR="0078284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и прогнозируется, как минимум, до первой трети </w:t>
      </w:r>
      <w:r w:rsidR="00782849" w:rsidRPr="000C0F7A">
        <w:rPr>
          <w:rFonts w:ascii="Times New Roman" w:hAnsi="Times New Roman"/>
          <w:noProof/>
          <w:sz w:val="27"/>
          <w:szCs w:val="27"/>
          <w:lang w:val="en-US" w:eastAsia="ru-RU"/>
        </w:rPr>
        <w:t>XXI</w:t>
      </w:r>
      <w:r w:rsidR="0078284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века включительно.</w:t>
      </w:r>
    </w:p>
    <w:p w:rsidR="000C0F7A" w:rsidRPr="000C0F7A" w:rsidRDefault="000C0F7A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val="en-GB" w:eastAsia="ru-RU"/>
        </w:rPr>
      </w:pPr>
    </w:p>
    <w:p w:rsidR="000D483C" w:rsidRPr="00C12C61" w:rsidRDefault="000D483C" w:rsidP="003562E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C12C61">
        <w:rPr>
          <w:rFonts w:ascii="Times New Roman" w:hAnsi="Times New Roman"/>
          <w:noProof/>
          <w:sz w:val="24"/>
          <w:szCs w:val="24"/>
          <w:lang w:eastAsia="ru-RU"/>
        </w:rPr>
        <w:t>Рис. 3</w:t>
      </w:r>
      <w:r w:rsidR="00C12C61" w:rsidRPr="00C12C61">
        <w:rPr>
          <w:rFonts w:ascii="Times New Roman" w:hAnsi="Times New Roman"/>
          <w:noProof/>
          <w:sz w:val="24"/>
          <w:szCs w:val="24"/>
          <w:lang w:eastAsia="ru-RU"/>
        </w:rPr>
        <w:t>. Отношение работающих граждан к пенсионерам в странах ОЭСР</w:t>
      </w:r>
      <w:r w:rsidR="00513CD9">
        <w:rPr>
          <w:rStyle w:val="a8"/>
          <w:rFonts w:ascii="Times New Roman" w:hAnsi="Times New Roman"/>
          <w:noProof/>
          <w:sz w:val="24"/>
          <w:szCs w:val="24"/>
          <w:lang w:eastAsia="ru-RU"/>
        </w:rPr>
        <w:footnoteReference w:id="3"/>
      </w:r>
    </w:p>
    <w:p w:rsidR="00092F32" w:rsidRDefault="006E5934" w:rsidP="003562E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B46BD1" wp14:editId="7D98FB1A">
            <wp:extent cx="5932967" cy="1743740"/>
            <wp:effectExtent l="0" t="0" r="0" b="889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0A9E" w:rsidRPr="000C0F7A" w:rsidRDefault="00030A20" w:rsidP="000B3385">
      <w:pPr>
        <w:spacing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Оба </w:t>
      </w:r>
      <w:r w:rsidR="001E022C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отмеченных тренда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оказывают негативное влияние на фондирование</w:t>
      </w:r>
      <w:r w:rsidR="00DC05C5" w:rsidRPr="000C0F7A">
        <w:rPr>
          <w:rStyle w:val="a8"/>
          <w:rFonts w:ascii="Times New Roman" w:hAnsi="Times New Roman"/>
          <w:noProof/>
          <w:sz w:val="27"/>
          <w:szCs w:val="27"/>
          <w:lang w:eastAsia="ru-RU"/>
        </w:rPr>
        <w:footnoteReference w:id="4"/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пенсионных схем</w:t>
      </w:r>
      <w:r w:rsidR="009D61DB"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504A78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</w:p>
    <w:p w:rsidR="0071523C" w:rsidRPr="008B5474" w:rsidRDefault="0071523C" w:rsidP="005B35D3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B5474">
        <w:rPr>
          <w:rFonts w:ascii="Times New Roman" w:hAnsi="Times New Roman"/>
          <w:noProof/>
          <w:sz w:val="24"/>
          <w:szCs w:val="24"/>
          <w:lang w:eastAsia="ru-RU"/>
        </w:rPr>
        <w:t>Рис. 4</w:t>
      </w:r>
      <w:r w:rsidR="008B5474" w:rsidRPr="008B5474">
        <w:rPr>
          <w:rFonts w:ascii="Times New Roman" w:hAnsi="Times New Roman"/>
          <w:noProof/>
          <w:sz w:val="24"/>
          <w:szCs w:val="24"/>
          <w:lang w:eastAsia="ru-RU"/>
        </w:rPr>
        <w:t xml:space="preserve">. Фондирование 100 крупнейших </w:t>
      </w:r>
      <w:r w:rsidR="008B5474" w:rsidRPr="008B5474">
        <w:rPr>
          <w:rFonts w:ascii="Times New Roman" w:hAnsi="Times New Roman"/>
          <w:noProof/>
          <w:sz w:val="24"/>
          <w:szCs w:val="24"/>
          <w:lang w:val="en-US" w:eastAsia="ru-RU"/>
        </w:rPr>
        <w:t>DB</w:t>
      </w:r>
      <w:r w:rsidR="008B5474" w:rsidRPr="008B5474">
        <w:rPr>
          <w:rFonts w:ascii="Times New Roman" w:hAnsi="Times New Roman"/>
          <w:noProof/>
          <w:sz w:val="24"/>
          <w:szCs w:val="24"/>
          <w:lang w:eastAsia="ru-RU"/>
        </w:rPr>
        <w:t>-схем США</w:t>
      </w:r>
      <w:r w:rsidR="005B35D3">
        <w:rPr>
          <w:rStyle w:val="a8"/>
          <w:rFonts w:ascii="Times New Roman" w:hAnsi="Times New Roman"/>
          <w:noProof/>
          <w:sz w:val="24"/>
          <w:szCs w:val="24"/>
          <w:lang w:eastAsia="ru-RU"/>
        </w:rPr>
        <w:footnoteReference w:id="5"/>
      </w:r>
    </w:p>
    <w:p w:rsidR="00BE3F8B" w:rsidRDefault="006E5934" w:rsidP="005B35D3">
      <w:pPr>
        <w:spacing w:line="36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E60DE7" wp14:editId="44B041B1">
            <wp:extent cx="4572000" cy="1906772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510B" w:rsidRPr="000C0F7A" w:rsidRDefault="00D23BC4" w:rsidP="0071523C">
      <w:pPr>
        <w:spacing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>Падение рыночных ставок</w:t>
      </w:r>
      <w:r w:rsidR="00504A78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71535E" w:rsidRPr="000C0F7A">
        <w:rPr>
          <w:rFonts w:ascii="Times New Roman" w:hAnsi="Times New Roman"/>
          <w:noProof/>
          <w:sz w:val="27"/>
          <w:szCs w:val="27"/>
          <w:lang w:eastAsia="ru-RU"/>
        </w:rPr>
        <w:t>напрямую вл</w:t>
      </w:r>
      <w:r w:rsidR="00FC3DE7" w:rsidRPr="000C0F7A">
        <w:rPr>
          <w:rFonts w:ascii="Times New Roman" w:hAnsi="Times New Roman"/>
          <w:noProof/>
          <w:sz w:val="27"/>
          <w:szCs w:val="27"/>
          <w:lang w:eastAsia="ru-RU"/>
        </w:rPr>
        <w:t>и</w:t>
      </w:r>
      <w:r w:rsidR="0071535E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яет на ставки дисконтирования, по которым фонды рассчитывают обязательства. </w:t>
      </w:r>
      <w:r w:rsidR="00AD5B16" w:rsidRPr="000C0F7A">
        <w:rPr>
          <w:rFonts w:ascii="Times New Roman" w:hAnsi="Times New Roman"/>
          <w:noProof/>
          <w:sz w:val="27"/>
          <w:szCs w:val="27"/>
          <w:lang w:eastAsia="ru-RU"/>
        </w:rPr>
        <w:t>В странах ОЭСР ставка дисконта складывается из ожидаемой доходности рыночных активов</w:t>
      </w:r>
      <w:r w:rsidR="00AD5B16" w:rsidRPr="000C0F7A">
        <w:rPr>
          <w:rStyle w:val="a8"/>
          <w:rFonts w:ascii="Times New Roman" w:hAnsi="Times New Roman"/>
          <w:noProof/>
          <w:sz w:val="27"/>
          <w:szCs w:val="27"/>
          <w:lang w:eastAsia="ru-RU"/>
        </w:rPr>
        <w:footnoteReference w:id="6"/>
      </w:r>
      <w:r w:rsidR="006F4700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и становится частью программ фондов по пенсионному обеспечению</w:t>
      </w:r>
      <w:r w:rsidR="00BD5B4A"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F56F91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5F258E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Поскольку фактическая доходность активов </w:t>
      </w:r>
      <w:r w:rsidR="001F1CE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оказывается </w:t>
      </w:r>
      <w:r w:rsidR="005F258E" w:rsidRPr="000C0F7A">
        <w:rPr>
          <w:rFonts w:ascii="Times New Roman" w:hAnsi="Times New Roman"/>
          <w:noProof/>
          <w:sz w:val="27"/>
          <w:szCs w:val="27"/>
          <w:lang w:eastAsia="ru-RU"/>
        </w:rPr>
        <w:t>ниже ожидаемой</w:t>
      </w:r>
      <w:r w:rsidR="00E065FC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, возникает разрыв в доходах от инвестирования пенсионных средств, что оказывает понижающее давление на </w:t>
      </w:r>
      <w:r w:rsidR="00E406C7" w:rsidRPr="000C0F7A">
        <w:rPr>
          <w:rFonts w:ascii="Times New Roman" w:hAnsi="Times New Roman"/>
          <w:noProof/>
          <w:sz w:val="27"/>
          <w:szCs w:val="27"/>
          <w:lang w:eastAsia="ru-RU"/>
        </w:rPr>
        <w:t>коэффициент фондирования, т.к. активы прирастают медленнее обязательств</w:t>
      </w:r>
      <w:r w:rsidR="00C769A1"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823BFB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</w:p>
    <w:p w:rsidR="00504A78" w:rsidRPr="000C0F7A" w:rsidRDefault="00ED6B9F" w:rsidP="0071523C">
      <w:pPr>
        <w:spacing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lastRenderedPageBreak/>
        <w:t>В свою очередь, р</w:t>
      </w:r>
      <w:r w:rsidR="00C769A1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ост продолжительности жизни приводит к росту обязательств.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В результате </w:t>
      </w:r>
      <w:r w:rsidR="00823BFB" w:rsidRPr="000C0F7A">
        <w:rPr>
          <w:rFonts w:ascii="Times New Roman" w:hAnsi="Times New Roman"/>
          <w:noProof/>
          <w:sz w:val="27"/>
          <w:szCs w:val="27"/>
          <w:lang w:eastAsia="ru-RU"/>
        </w:rPr>
        <w:t>растет дефицит</w:t>
      </w:r>
      <w:r w:rsidR="00C769A1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пенсионных схем</w:t>
      </w:r>
      <w:r w:rsidR="00C769A1"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</w:p>
    <w:p w:rsidR="00BE3F8B" w:rsidRPr="002432D9" w:rsidRDefault="00295CD5" w:rsidP="0071523C">
      <w:pPr>
        <w:spacing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432D9">
        <w:rPr>
          <w:rFonts w:ascii="Times New Roman" w:hAnsi="Times New Roman"/>
          <w:noProof/>
          <w:sz w:val="24"/>
          <w:szCs w:val="24"/>
          <w:lang w:eastAsia="ru-RU"/>
        </w:rPr>
        <w:t>Рис. 5</w:t>
      </w:r>
      <w:r w:rsidR="002432D9" w:rsidRPr="002432D9">
        <w:rPr>
          <w:rFonts w:ascii="Times New Roman" w:hAnsi="Times New Roman"/>
          <w:noProof/>
          <w:sz w:val="24"/>
          <w:szCs w:val="24"/>
          <w:lang w:eastAsia="ru-RU"/>
        </w:rPr>
        <w:t xml:space="preserve">. Активы и обязательства 100 крупнейших </w:t>
      </w:r>
      <w:r w:rsidR="002432D9" w:rsidRPr="002432D9">
        <w:rPr>
          <w:rFonts w:ascii="Times New Roman" w:hAnsi="Times New Roman"/>
          <w:noProof/>
          <w:sz w:val="24"/>
          <w:szCs w:val="24"/>
          <w:lang w:val="en-US" w:eastAsia="ru-RU"/>
        </w:rPr>
        <w:t>DB</w:t>
      </w:r>
      <w:r w:rsidR="002432D9" w:rsidRPr="002432D9">
        <w:rPr>
          <w:rFonts w:ascii="Times New Roman" w:hAnsi="Times New Roman"/>
          <w:noProof/>
          <w:sz w:val="24"/>
          <w:szCs w:val="24"/>
          <w:lang w:eastAsia="ru-RU"/>
        </w:rPr>
        <w:t>-схем США</w:t>
      </w:r>
      <w:r w:rsidR="00265E54">
        <w:rPr>
          <w:rStyle w:val="a8"/>
          <w:rFonts w:ascii="Times New Roman" w:hAnsi="Times New Roman"/>
          <w:noProof/>
          <w:sz w:val="24"/>
          <w:szCs w:val="24"/>
          <w:lang w:eastAsia="ru-RU"/>
        </w:rPr>
        <w:footnoteReference w:id="7"/>
      </w:r>
    </w:p>
    <w:p w:rsidR="00BE3F8B" w:rsidRDefault="006E5934" w:rsidP="000B3385">
      <w:pPr>
        <w:spacing w:line="360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D4F6FF" wp14:editId="5D146A5A">
            <wp:extent cx="5932968" cy="2176130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3385" w:rsidRPr="000C0F7A" w:rsidRDefault="00C769A1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>Т</w:t>
      </w:r>
      <w:r w:rsidR="000B3385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ак, </w:t>
      </w:r>
      <w:r w:rsidR="00A620FA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агрегированный уровень фондирования корпоративных схем в США </w:t>
      </w:r>
      <w:r w:rsidR="000B3385" w:rsidRPr="000C0F7A">
        <w:rPr>
          <w:rFonts w:ascii="Times New Roman" w:hAnsi="Times New Roman"/>
          <w:noProof/>
          <w:sz w:val="27"/>
          <w:szCs w:val="27"/>
          <w:lang w:eastAsia="ru-RU"/>
        </w:rPr>
        <w:t>на конец 2014 года</w:t>
      </w:r>
      <w:r w:rsidR="00A620FA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составил 77,8%, сократившись за год на 12%; фондирование 350 крупнейших британских корпоративных схем за тот же период упало на 6% до уровня 85%, а дефицит британских </w:t>
      </w:r>
      <w:r w:rsidR="00756984" w:rsidRPr="000C0F7A">
        <w:rPr>
          <w:rFonts w:ascii="Times New Roman" w:hAnsi="Times New Roman"/>
          <w:noProof/>
          <w:sz w:val="27"/>
          <w:szCs w:val="27"/>
          <w:lang w:eastAsia="ru-RU"/>
        </w:rPr>
        <w:t>схем</w:t>
      </w:r>
      <w:r w:rsidR="00A620FA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в январе 2015 года составил £133 млрд. ($204,2 млрд.).  </w:t>
      </w:r>
      <w:r w:rsidR="000B3385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</w:p>
    <w:p w:rsidR="00DE3977" w:rsidRPr="000C0F7A" w:rsidRDefault="00C769A1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>Третий вызов – политика количественного смягчения</w:t>
      </w:r>
      <w:r w:rsidR="00986F93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в США и Европе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1C1F4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(далее – </w:t>
      </w:r>
      <w:r w:rsidR="001C1F44" w:rsidRPr="000C0F7A">
        <w:rPr>
          <w:rFonts w:ascii="Times New Roman" w:hAnsi="Times New Roman"/>
          <w:noProof/>
          <w:sz w:val="27"/>
          <w:szCs w:val="27"/>
          <w:lang w:val="en-US" w:eastAsia="ru-RU"/>
        </w:rPr>
        <w:t>QE</w:t>
      </w:r>
      <w:r w:rsidR="001C1F4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). По оценкам экспертов, благодаря программе </w:t>
      </w:r>
      <w:r w:rsidR="001C1F44" w:rsidRPr="000C0F7A">
        <w:rPr>
          <w:rFonts w:ascii="Times New Roman" w:hAnsi="Times New Roman"/>
          <w:noProof/>
          <w:sz w:val="27"/>
          <w:szCs w:val="27"/>
          <w:lang w:val="en-US" w:eastAsia="ru-RU"/>
        </w:rPr>
        <w:t>QE</w:t>
      </w:r>
      <w:r w:rsidR="001C1F4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фондирование европейских </w:t>
      </w:r>
      <w:r w:rsidR="001C1F44" w:rsidRPr="000C0F7A">
        <w:rPr>
          <w:rFonts w:ascii="Times New Roman" w:hAnsi="Times New Roman"/>
          <w:noProof/>
          <w:sz w:val="27"/>
          <w:szCs w:val="27"/>
          <w:lang w:val="en-US" w:eastAsia="ru-RU"/>
        </w:rPr>
        <w:t>DB</w:t>
      </w:r>
      <w:r w:rsidR="001C1F4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-схем может упасть более, чем на 15%, т.к. обязательства могут вырасти на 18%. </w:t>
      </w:r>
    </w:p>
    <w:p w:rsidR="001C615F" w:rsidRPr="000C0F7A" w:rsidRDefault="001C1F44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>Данные оценки выглядят реалис</w:t>
      </w:r>
      <w:r w:rsidR="008628B9" w:rsidRPr="000C0F7A">
        <w:rPr>
          <w:rFonts w:ascii="Times New Roman" w:hAnsi="Times New Roman"/>
          <w:noProof/>
          <w:sz w:val="27"/>
          <w:szCs w:val="27"/>
          <w:lang w:eastAsia="ru-RU"/>
        </w:rPr>
        <w:t>т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ично в свете парадоксального эффекта </w:t>
      </w:r>
      <w:r w:rsidR="008628B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от </w:t>
      </w:r>
      <w:r w:rsidR="008628B9" w:rsidRPr="000C0F7A">
        <w:rPr>
          <w:rFonts w:ascii="Times New Roman" w:hAnsi="Times New Roman"/>
          <w:noProof/>
          <w:sz w:val="27"/>
          <w:szCs w:val="27"/>
          <w:lang w:val="en-US" w:eastAsia="ru-RU"/>
        </w:rPr>
        <w:t>QE</w:t>
      </w:r>
      <w:r w:rsidR="008628B9" w:rsidRPr="000C0F7A">
        <w:rPr>
          <w:rFonts w:ascii="Times New Roman" w:hAnsi="Times New Roman"/>
          <w:noProof/>
          <w:sz w:val="27"/>
          <w:szCs w:val="27"/>
          <w:lang w:eastAsia="ru-RU"/>
        </w:rPr>
        <w:t>: с момента запуска программы</w:t>
      </w:r>
      <w:r w:rsidR="00D40CA0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в Европе</w:t>
      </w:r>
      <w:r w:rsidR="008628B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, инвесторы бросились скупать правительственные бонды в надежде </w:t>
      </w:r>
      <w:r w:rsidR="00EC4882" w:rsidRPr="000C0F7A">
        <w:rPr>
          <w:rFonts w:ascii="Times New Roman" w:hAnsi="Times New Roman"/>
          <w:noProof/>
          <w:sz w:val="27"/>
          <w:szCs w:val="27"/>
          <w:lang w:eastAsia="ru-RU"/>
        </w:rPr>
        <w:t>пере</w:t>
      </w:r>
      <w:r w:rsidR="008628B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продать их подороже </w:t>
      </w:r>
      <w:r w:rsidR="003C4CA4" w:rsidRPr="000C0F7A">
        <w:rPr>
          <w:rFonts w:ascii="Times New Roman" w:hAnsi="Times New Roman"/>
          <w:noProof/>
          <w:sz w:val="27"/>
          <w:szCs w:val="27"/>
          <w:lang w:eastAsia="ru-RU"/>
        </w:rPr>
        <w:t>Европейскому Центральному Банку</w:t>
      </w:r>
      <w:r w:rsidR="008628B9"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FE0252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Ажиотажный спрос на госбонды еще более ус</w:t>
      </w:r>
      <w:r w:rsidR="0046449B" w:rsidRPr="000C0F7A">
        <w:rPr>
          <w:rFonts w:ascii="Times New Roman" w:hAnsi="Times New Roman"/>
          <w:noProof/>
          <w:sz w:val="27"/>
          <w:szCs w:val="27"/>
          <w:lang w:eastAsia="ru-RU"/>
        </w:rPr>
        <w:t>илил снижение процентных ставок, и п</w:t>
      </w:r>
      <w:r w:rsidR="002C0875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ервые итоги </w:t>
      </w:r>
      <w:r w:rsidR="002C0875" w:rsidRPr="000C0F7A">
        <w:rPr>
          <w:rFonts w:ascii="Times New Roman" w:hAnsi="Times New Roman"/>
          <w:noProof/>
          <w:sz w:val="27"/>
          <w:szCs w:val="27"/>
          <w:lang w:val="en-US" w:eastAsia="ru-RU"/>
        </w:rPr>
        <w:t>QE</w:t>
      </w:r>
      <w:r w:rsidR="002C0875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для </w:t>
      </w:r>
      <w:r w:rsidR="006F46AF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европейских </w:t>
      </w:r>
      <w:r w:rsidR="002C0875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пенсионных фондов были подведены уже в конце 1-го кв. 2015 года: </w:t>
      </w:r>
      <w:r w:rsidR="0046449B" w:rsidRPr="000C0F7A">
        <w:rPr>
          <w:rFonts w:ascii="Times New Roman" w:hAnsi="Times New Roman"/>
          <w:noProof/>
          <w:sz w:val="27"/>
          <w:szCs w:val="27"/>
          <w:lang w:eastAsia="ru-RU"/>
        </w:rPr>
        <w:t>в марте фондирование голландских фондов сократилось в среднем на 2% (до 104%, что ниже законодательно треб</w:t>
      </w:r>
      <w:r w:rsidR="007E7103" w:rsidRPr="000C0F7A">
        <w:rPr>
          <w:rFonts w:ascii="Times New Roman" w:hAnsi="Times New Roman"/>
          <w:noProof/>
          <w:sz w:val="27"/>
          <w:szCs w:val="27"/>
          <w:lang w:eastAsia="ru-RU"/>
        </w:rPr>
        <w:t>у</w:t>
      </w:r>
      <w:r w:rsidR="0046449B" w:rsidRPr="000C0F7A">
        <w:rPr>
          <w:rFonts w:ascii="Times New Roman" w:hAnsi="Times New Roman"/>
          <w:noProof/>
          <w:sz w:val="27"/>
          <w:szCs w:val="27"/>
          <w:lang w:eastAsia="ru-RU"/>
        </w:rPr>
        <w:t>емого уровня в 105%);</w:t>
      </w:r>
      <w:r w:rsidR="0098660B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D772F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их </w:t>
      </w:r>
      <w:r w:rsidR="0098660B" w:rsidRPr="000C0F7A">
        <w:rPr>
          <w:rFonts w:ascii="Times New Roman" w:hAnsi="Times New Roman"/>
          <w:noProof/>
          <w:sz w:val="27"/>
          <w:szCs w:val="27"/>
          <w:lang w:eastAsia="ru-RU"/>
        </w:rPr>
        <w:t>обязательства благодаря падению ставок выросли на 7,1%.</w:t>
      </w:r>
      <w:r w:rsidR="004243CC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При сложившемся уровне процентных ставок голландские фонды больше не </w:t>
      </w:r>
      <w:r w:rsidR="00C7340C" w:rsidRPr="000C0F7A">
        <w:rPr>
          <w:rFonts w:ascii="Times New Roman" w:hAnsi="Times New Roman"/>
          <w:noProof/>
          <w:sz w:val="27"/>
          <w:szCs w:val="27"/>
          <w:lang w:eastAsia="ru-RU"/>
        </w:rPr>
        <w:t>с</w:t>
      </w:r>
      <w:r w:rsidR="004243CC" w:rsidRPr="000C0F7A">
        <w:rPr>
          <w:rFonts w:ascii="Times New Roman" w:hAnsi="Times New Roman"/>
          <w:noProof/>
          <w:sz w:val="27"/>
          <w:szCs w:val="27"/>
          <w:lang w:eastAsia="ru-RU"/>
        </w:rPr>
        <w:t>могут гарантировать доходность на уровне инфляции.</w:t>
      </w:r>
      <w:r w:rsidR="0043631A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762519" w:rsidRPr="000C0F7A">
        <w:rPr>
          <w:rFonts w:ascii="Times New Roman" w:hAnsi="Times New Roman"/>
          <w:noProof/>
          <w:sz w:val="27"/>
          <w:szCs w:val="27"/>
          <w:lang w:eastAsia="ru-RU"/>
        </w:rPr>
        <w:t>К</w:t>
      </w:r>
      <w:r w:rsidR="00BF781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ма</w:t>
      </w:r>
      <w:r w:rsidR="00762519" w:rsidRPr="000C0F7A">
        <w:rPr>
          <w:rFonts w:ascii="Times New Roman" w:hAnsi="Times New Roman"/>
          <w:noProof/>
          <w:sz w:val="27"/>
          <w:szCs w:val="27"/>
          <w:lang w:eastAsia="ru-RU"/>
        </w:rPr>
        <w:t>ю</w:t>
      </w:r>
      <w:r w:rsidR="00BF781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2015 года</w:t>
      </w:r>
      <w:r w:rsidR="00CA1B8E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стоимость </w:t>
      </w:r>
      <w:r w:rsidR="00CA1B8E" w:rsidRPr="000C0F7A">
        <w:rPr>
          <w:rFonts w:ascii="Times New Roman" w:hAnsi="Times New Roman"/>
          <w:noProof/>
          <w:sz w:val="27"/>
          <w:szCs w:val="27"/>
          <w:lang w:eastAsia="ru-RU"/>
        </w:rPr>
        <w:lastRenderedPageBreak/>
        <w:t>пенсионного обеспечения для голландских фондов выросла на 10% или в среднем на 1% от зарплаты участника.</w:t>
      </w:r>
    </w:p>
    <w:p w:rsidR="00117A6F" w:rsidRPr="000C0F7A" w:rsidRDefault="00CA1B8E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466F4E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Отвечать на указанные вызовы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пенсионным фондам </w:t>
      </w:r>
      <w:r w:rsidR="004C39BD" w:rsidRPr="000C0F7A">
        <w:rPr>
          <w:rFonts w:ascii="Times New Roman" w:hAnsi="Times New Roman"/>
          <w:noProof/>
          <w:sz w:val="27"/>
          <w:szCs w:val="27"/>
          <w:lang w:eastAsia="ru-RU"/>
        </w:rPr>
        <w:t>придется  посредством увелич</w:t>
      </w:r>
      <w:r w:rsidR="00A65F42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ения взносов, снижения выплат </w:t>
      </w:r>
      <w:r w:rsidR="004C39BD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и </w:t>
      </w:r>
      <w:r w:rsidR="00713587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увеличения </w:t>
      </w:r>
      <w:r w:rsidR="004C39BD" w:rsidRPr="000C0F7A">
        <w:rPr>
          <w:rFonts w:ascii="Times New Roman" w:hAnsi="Times New Roman"/>
          <w:noProof/>
          <w:sz w:val="27"/>
          <w:szCs w:val="27"/>
          <w:lang w:eastAsia="ru-RU"/>
        </w:rPr>
        <w:t>риска</w:t>
      </w:r>
      <w:r w:rsidR="008B1CFD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невыполнения обязательств пере</w:t>
      </w:r>
      <w:r w:rsidR="00762519" w:rsidRPr="000C0F7A">
        <w:rPr>
          <w:rFonts w:ascii="Times New Roman" w:hAnsi="Times New Roman"/>
          <w:noProof/>
          <w:sz w:val="27"/>
          <w:szCs w:val="27"/>
          <w:lang w:eastAsia="ru-RU"/>
        </w:rPr>
        <w:t>д</w:t>
      </w:r>
      <w:r w:rsidR="008B1CFD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участниками</w:t>
      </w:r>
      <w:r w:rsidR="00466F4E"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4C39BD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B87928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Кроме того, для увеличения доходности активов пенсионные фонды начинают шире диверсифицировать инвестиционный портфель, </w:t>
      </w:r>
      <w:r w:rsidR="00F6008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наращивая </w:t>
      </w:r>
      <w:r w:rsidR="00B87928" w:rsidRPr="000C0F7A">
        <w:rPr>
          <w:rFonts w:ascii="Times New Roman" w:hAnsi="Times New Roman"/>
          <w:noProof/>
          <w:sz w:val="27"/>
          <w:szCs w:val="27"/>
          <w:lang w:eastAsia="ru-RU"/>
        </w:rPr>
        <w:t>долю акций, высокодоходных облигаций и альтернативных инструментов (в</w:t>
      </w:r>
      <w:r w:rsidR="008848A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частности,</w:t>
      </w:r>
      <w:r w:rsidR="00B87928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активов </w:t>
      </w:r>
      <w:r w:rsidR="008848A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инфраструктуры, </w:t>
      </w:r>
      <w:r w:rsidR="00B87928" w:rsidRPr="000C0F7A">
        <w:rPr>
          <w:rFonts w:ascii="Times New Roman" w:hAnsi="Times New Roman"/>
          <w:noProof/>
          <w:sz w:val="27"/>
          <w:szCs w:val="27"/>
          <w:lang w:eastAsia="ru-RU"/>
        </w:rPr>
        <w:t>прямых инвестиций и недвижимости)</w:t>
      </w:r>
      <w:r w:rsidR="000418A7"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B87928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0418A7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Эксперты </w:t>
      </w:r>
      <w:proofErr w:type="spellStart"/>
      <w:r w:rsidR="003C4CA4" w:rsidRPr="000C0F7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PricewaterhouseCoopers</w:t>
      </w:r>
      <w:proofErr w:type="spellEnd"/>
      <w:r w:rsidR="003C4CA4" w:rsidRPr="000C0F7A"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t xml:space="preserve"> (</w:t>
      </w:r>
      <w:r w:rsidR="003C4CA4" w:rsidRPr="000C0F7A">
        <w:rPr>
          <w:rFonts w:ascii="Times New Roman" w:hAnsi="Times New Roman"/>
          <w:noProof/>
          <w:color w:val="000000" w:themeColor="text1"/>
          <w:sz w:val="27"/>
          <w:szCs w:val="27"/>
          <w:lang w:val="en-GB" w:eastAsia="ru-RU"/>
        </w:rPr>
        <w:t>PwC</w:t>
      </w:r>
      <w:r w:rsidR="003C4CA4" w:rsidRPr="000C0F7A">
        <w:rPr>
          <w:rFonts w:ascii="Times New Roman" w:hAnsi="Times New Roman"/>
          <w:noProof/>
          <w:color w:val="000000" w:themeColor="text1"/>
          <w:sz w:val="27"/>
          <w:szCs w:val="27"/>
          <w:lang w:eastAsia="ru-RU"/>
        </w:rPr>
        <w:t xml:space="preserve">) </w:t>
      </w:r>
      <w:r w:rsidR="00117A6F" w:rsidRPr="000C0F7A">
        <w:rPr>
          <w:rFonts w:ascii="Times New Roman" w:hAnsi="Times New Roman"/>
          <w:noProof/>
          <w:sz w:val="27"/>
          <w:szCs w:val="27"/>
          <w:lang w:eastAsia="ru-RU"/>
        </w:rPr>
        <w:t>прогнозиру</w:t>
      </w:r>
      <w:r w:rsidR="000418A7" w:rsidRPr="000C0F7A">
        <w:rPr>
          <w:rFonts w:ascii="Times New Roman" w:hAnsi="Times New Roman"/>
          <w:noProof/>
          <w:sz w:val="27"/>
          <w:szCs w:val="27"/>
          <w:lang w:eastAsia="ru-RU"/>
        </w:rPr>
        <w:t>ю</w:t>
      </w:r>
      <w:r w:rsidR="00117A6F" w:rsidRPr="000C0F7A">
        <w:rPr>
          <w:rFonts w:ascii="Times New Roman" w:hAnsi="Times New Roman"/>
          <w:noProof/>
          <w:sz w:val="27"/>
          <w:szCs w:val="27"/>
          <w:lang w:eastAsia="ru-RU"/>
        </w:rPr>
        <w:t>т рост альтернативных инвестиций с $7,9 трлн. в 2013 году до $13,6 трлн. в 2020 году.</w:t>
      </w:r>
    </w:p>
    <w:p w:rsidR="000C0F7A" w:rsidRDefault="000C0F7A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en-GB" w:eastAsia="ru-RU"/>
        </w:rPr>
      </w:pPr>
    </w:p>
    <w:p w:rsidR="002679EB" w:rsidRPr="00DD1ECB" w:rsidRDefault="002679EB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D1ECB">
        <w:rPr>
          <w:rFonts w:ascii="Times New Roman" w:hAnsi="Times New Roman"/>
          <w:noProof/>
          <w:sz w:val="24"/>
          <w:szCs w:val="24"/>
          <w:lang w:eastAsia="ru-RU"/>
        </w:rPr>
        <w:t>Рис. 6</w:t>
      </w:r>
      <w:r w:rsidR="00DD1ECB" w:rsidRPr="00DD1ECB">
        <w:rPr>
          <w:rFonts w:ascii="Times New Roman" w:hAnsi="Times New Roman"/>
          <w:noProof/>
          <w:sz w:val="24"/>
          <w:szCs w:val="24"/>
          <w:lang w:eastAsia="ru-RU"/>
        </w:rPr>
        <w:t>. Динамика активов ПФ ЕС в 2013-2014</w:t>
      </w:r>
      <w:r w:rsidR="00D3154F">
        <w:rPr>
          <w:rStyle w:val="a8"/>
          <w:rFonts w:ascii="Times New Roman" w:hAnsi="Times New Roman"/>
          <w:noProof/>
          <w:sz w:val="24"/>
          <w:szCs w:val="24"/>
          <w:lang w:eastAsia="ru-RU"/>
        </w:rPr>
        <w:footnoteReference w:id="8"/>
      </w:r>
      <w:r w:rsidR="00DD1ECB" w:rsidRPr="00DD1ECB">
        <w:rPr>
          <w:rFonts w:ascii="Times New Roman" w:hAnsi="Times New Roman"/>
          <w:noProof/>
          <w:sz w:val="24"/>
          <w:szCs w:val="24"/>
          <w:lang w:eastAsia="ru-RU"/>
        </w:rPr>
        <w:t xml:space="preserve"> гг</w:t>
      </w:r>
      <w:r w:rsidR="00D3154F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913B2" w:rsidRDefault="006E5934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40F71A" wp14:editId="1E549CAE">
            <wp:extent cx="4954772" cy="2346252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0F7A" w:rsidRDefault="000C0F7A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en-GB" w:eastAsia="ru-RU"/>
        </w:rPr>
      </w:pPr>
    </w:p>
    <w:p w:rsidR="000C0F7A" w:rsidRDefault="000C0F7A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en-GB" w:eastAsia="ru-RU"/>
        </w:rPr>
      </w:pPr>
    </w:p>
    <w:p w:rsidR="000C0F7A" w:rsidRDefault="000C0F7A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en-GB" w:eastAsia="ru-RU"/>
        </w:rPr>
      </w:pPr>
    </w:p>
    <w:p w:rsidR="000C0F7A" w:rsidRDefault="000C0F7A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en-GB" w:eastAsia="ru-RU"/>
        </w:rPr>
      </w:pPr>
    </w:p>
    <w:p w:rsidR="000C0F7A" w:rsidRDefault="000C0F7A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en-GB" w:eastAsia="ru-RU"/>
        </w:rPr>
      </w:pPr>
    </w:p>
    <w:p w:rsidR="000C0F7A" w:rsidRDefault="000C0F7A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en-GB" w:eastAsia="ru-RU"/>
        </w:rPr>
      </w:pPr>
    </w:p>
    <w:p w:rsidR="00E913B2" w:rsidRPr="00595E91" w:rsidRDefault="009822F7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95E91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Рис. 7</w:t>
      </w:r>
      <w:r w:rsidR="00595E91" w:rsidRPr="00595E91">
        <w:rPr>
          <w:rFonts w:ascii="Times New Roman" w:hAnsi="Times New Roman"/>
          <w:noProof/>
          <w:sz w:val="24"/>
          <w:szCs w:val="24"/>
          <w:lang w:eastAsia="ru-RU"/>
        </w:rPr>
        <w:t>. Активы ПФ ЕС в 4</w:t>
      </w:r>
      <w:r w:rsidR="00595E91" w:rsidRPr="00595E91">
        <w:rPr>
          <w:rFonts w:ascii="Times New Roman" w:hAnsi="Times New Roman"/>
          <w:noProof/>
          <w:sz w:val="24"/>
          <w:szCs w:val="24"/>
          <w:lang w:val="en-US" w:eastAsia="ru-RU"/>
        </w:rPr>
        <w:t>Q</w:t>
      </w:r>
      <w:r w:rsidR="00595E91" w:rsidRPr="00595E91">
        <w:rPr>
          <w:rFonts w:ascii="Times New Roman" w:hAnsi="Times New Roman"/>
          <w:noProof/>
          <w:sz w:val="24"/>
          <w:szCs w:val="24"/>
          <w:lang w:eastAsia="ru-RU"/>
        </w:rPr>
        <w:t xml:space="preserve"> 2014, € млрд</w:t>
      </w:r>
      <w:r w:rsidR="00D81C5C">
        <w:rPr>
          <w:rStyle w:val="a8"/>
          <w:rFonts w:ascii="Times New Roman" w:hAnsi="Times New Roman"/>
          <w:noProof/>
          <w:sz w:val="24"/>
          <w:szCs w:val="24"/>
          <w:lang w:eastAsia="ru-RU"/>
        </w:rPr>
        <w:footnoteReference w:id="9"/>
      </w:r>
      <w:r w:rsidR="00595E91" w:rsidRPr="00595E91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9822F7" w:rsidRDefault="006E5934" w:rsidP="00C71709">
      <w:pPr>
        <w:spacing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0B78FB" wp14:editId="662D10BE">
            <wp:extent cx="4572000" cy="213360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1831" w:rsidRPr="00595E91" w:rsidRDefault="00001831" w:rsidP="0029197A">
      <w:pPr>
        <w:spacing w:line="36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95E91">
        <w:rPr>
          <w:rFonts w:ascii="Times New Roman" w:hAnsi="Times New Roman"/>
          <w:noProof/>
          <w:sz w:val="24"/>
          <w:szCs w:val="24"/>
          <w:lang w:eastAsia="ru-RU"/>
        </w:rPr>
        <w:t>Рис. 8</w:t>
      </w:r>
      <w:r w:rsidR="00595E91" w:rsidRPr="00595E91">
        <w:rPr>
          <w:rFonts w:ascii="Times New Roman" w:hAnsi="Times New Roman"/>
          <w:noProof/>
          <w:sz w:val="24"/>
          <w:szCs w:val="24"/>
          <w:lang w:eastAsia="ru-RU"/>
        </w:rPr>
        <w:t>. Альтернативные активы, в $ трлн</w:t>
      </w:r>
      <w:r w:rsidR="00836C3C">
        <w:rPr>
          <w:rStyle w:val="a8"/>
          <w:rFonts w:ascii="Times New Roman" w:hAnsi="Times New Roman"/>
          <w:noProof/>
          <w:sz w:val="24"/>
          <w:szCs w:val="24"/>
          <w:lang w:eastAsia="ru-RU"/>
        </w:rPr>
        <w:footnoteReference w:id="10"/>
      </w:r>
      <w:r w:rsidR="00595E91" w:rsidRPr="00595E91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001831" w:rsidRDefault="006E5934" w:rsidP="0029197A">
      <w:pPr>
        <w:spacing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E847E0" wp14:editId="0F1A4A13">
            <wp:extent cx="5734493" cy="2027274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86AB4" w:rsidRPr="000C0F7A" w:rsidRDefault="00996B6F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>Таким образом,</w:t>
      </w:r>
      <w:r w:rsidR="007A7FB2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количественное смягчение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, во-первых,</w:t>
      </w:r>
      <w:r w:rsidR="007A7FB2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3D79F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стимулирует дальнейшее снижение процентных ставок; во-вторых,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подталкивает фонды вкладываться </w:t>
      </w:r>
      <w:r w:rsidR="007A7FB2" w:rsidRPr="000C0F7A">
        <w:rPr>
          <w:rFonts w:ascii="Times New Roman" w:hAnsi="Times New Roman"/>
          <w:noProof/>
          <w:sz w:val="27"/>
          <w:szCs w:val="27"/>
          <w:lang w:eastAsia="ru-RU"/>
        </w:rPr>
        <w:t>в более доходные, а значит, и более рисковые активы, чтобы выполнить свои обязательства перед участниками</w:t>
      </w:r>
      <w:r w:rsidR="00C81C53" w:rsidRPr="000C0F7A">
        <w:rPr>
          <w:rFonts w:ascii="Times New Roman" w:hAnsi="Times New Roman"/>
          <w:noProof/>
          <w:sz w:val="27"/>
          <w:szCs w:val="27"/>
          <w:lang w:eastAsia="ru-RU"/>
        </w:rPr>
        <w:t>;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7A7FB2" w:rsidRPr="000C0F7A">
        <w:rPr>
          <w:rFonts w:ascii="Times New Roman" w:hAnsi="Times New Roman"/>
          <w:noProof/>
          <w:sz w:val="27"/>
          <w:szCs w:val="27"/>
          <w:lang w:eastAsia="ru-RU"/>
        </w:rPr>
        <w:t>в-</w:t>
      </w:r>
      <w:r w:rsidR="003D79F9" w:rsidRPr="000C0F7A">
        <w:rPr>
          <w:rFonts w:ascii="Times New Roman" w:hAnsi="Times New Roman"/>
          <w:noProof/>
          <w:sz w:val="27"/>
          <w:szCs w:val="27"/>
          <w:lang w:eastAsia="ru-RU"/>
        </w:rPr>
        <w:t>третьих</w:t>
      </w:r>
      <w:r w:rsidR="007A7FB2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,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может привести к</w:t>
      </w:r>
      <w:r w:rsidR="00D75A46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появлени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ю</w:t>
      </w:r>
      <w:r w:rsidR="00D75A46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пузырей на фондовом рынке и рынке </w:t>
      </w:r>
      <w:r w:rsidR="00926A89" w:rsidRPr="000C0F7A">
        <w:rPr>
          <w:rFonts w:ascii="Times New Roman" w:hAnsi="Times New Roman"/>
          <w:noProof/>
          <w:sz w:val="27"/>
          <w:szCs w:val="27"/>
          <w:lang w:eastAsia="ru-RU"/>
        </w:rPr>
        <w:t>альтернативных инвестиций</w:t>
      </w:r>
      <w:r w:rsidR="00893DB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(в т.ч. из-за наплыва дешевого капитала из суверенных азиатских фондов)</w:t>
      </w:r>
      <w:r w:rsidR="00926A8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, что </w:t>
      </w:r>
      <w:r w:rsidR="00D55A0A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вызовет </w:t>
      </w:r>
      <w:r w:rsidR="00926A89" w:rsidRPr="000C0F7A">
        <w:rPr>
          <w:rFonts w:ascii="Times New Roman" w:hAnsi="Times New Roman"/>
          <w:noProof/>
          <w:sz w:val="27"/>
          <w:szCs w:val="27"/>
          <w:lang w:eastAsia="ru-RU"/>
        </w:rPr>
        <w:t>катастрофически</w:t>
      </w:r>
      <w:r w:rsidR="00D55A0A" w:rsidRPr="000C0F7A">
        <w:rPr>
          <w:rFonts w:ascii="Times New Roman" w:hAnsi="Times New Roman"/>
          <w:noProof/>
          <w:sz w:val="27"/>
          <w:szCs w:val="27"/>
          <w:lang w:eastAsia="ru-RU"/>
        </w:rPr>
        <w:t>е</w:t>
      </w:r>
      <w:r w:rsidR="00926A8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последствия для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CC7110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пенсионных </w:t>
      </w:r>
      <w:r w:rsidR="00926A89" w:rsidRPr="000C0F7A">
        <w:rPr>
          <w:rFonts w:ascii="Times New Roman" w:hAnsi="Times New Roman"/>
          <w:noProof/>
          <w:sz w:val="27"/>
          <w:szCs w:val="27"/>
          <w:lang w:eastAsia="ru-RU"/>
        </w:rPr>
        <w:t>фондов в случае</w:t>
      </w:r>
      <w:r w:rsidR="00AA53E2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791F3D" w:rsidRPr="000C0F7A">
        <w:rPr>
          <w:rFonts w:ascii="Times New Roman" w:hAnsi="Times New Roman"/>
          <w:noProof/>
          <w:sz w:val="27"/>
          <w:szCs w:val="27"/>
          <w:lang w:eastAsia="ru-RU"/>
        </w:rPr>
        <w:t>масштабного ухудшения</w:t>
      </w:r>
      <w:r w:rsidR="00AA53E2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рыночной конъюнктуры</w:t>
      </w:r>
      <w:r w:rsidR="00926A89"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A96A17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</w:p>
    <w:p w:rsidR="00E02D69" w:rsidRPr="000C0F7A" w:rsidRDefault="0053774F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>В</w:t>
      </w:r>
      <w:r w:rsidR="00A96A17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сложившейся ситуации</w:t>
      </w:r>
      <w:r w:rsidR="00B704F0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пенсионные фонды </w:t>
      </w:r>
      <w:r w:rsidR="0055106C" w:rsidRPr="000C0F7A">
        <w:rPr>
          <w:rFonts w:ascii="Times New Roman" w:hAnsi="Times New Roman"/>
          <w:noProof/>
          <w:sz w:val="27"/>
          <w:szCs w:val="27"/>
          <w:lang w:eastAsia="ru-RU"/>
        </w:rPr>
        <w:t>могут сделать не так уж и много, чтобы не поставить под удар выполнение обязат</w:t>
      </w:r>
      <w:r w:rsidR="005000D6" w:rsidRPr="000C0F7A">
        <w:rPr>
          <w:rFonts w:ascii="Times New Roman" w:hAnsi="Times New Roman"/>
          <w:noProof/>
          <w:sz w:val="27"/>
          <w:szCs w:val="27"/>
          <w:lang w:eastAsia="ru-RU"/>
        </w:rPr>
        <w:t>ельств перед своими участниками</w:t>
      </w:r>
      <w:r w:rsidR="00C24F02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в среднесрочной перспективе</w:t>
      </w:r>
      <w:r w:rsidR="00D42C57" w:rsidRPr="000C0F7A">
        <w:rPr>
          <w:rStyle w:val="a8"/>
          <w:rFonts w:ascii="Times New Roman" w:hAnsi="Times New Roman"/>
          <w:noProof/>
          <w:sz w:val="27"/>
          <w:szCs w:val="27"/>
          <w:lang w:eastAsia="ru-RU"/>
        </w:rPr>
        <w:footnoteReference w:id="11"/>
      </w:r>
      <w:r w:rsidR="005000D6" w:rsidRPr="000C0F7A">
        <w:rPr>
          <w:rFonts w:ascii="Times New Roman" w:hAnsi="Times New Roman"/>
          <w:noProof/>
          <w:sz w:val="27"/>
          <w:szCs w:val="27"/>
          <w:lang w:eastAsia="ru-RU"/>
        </w:rPr>
        <w:t>:</w:t>
      </w:r>
    </w:p>
    <w:p w:rsidR="008D1E5D" w:rsidRPr="000C0F7A" w:rsidRDefault="00C81C53" w:rsidP="000C0F7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i/>
          <w:noProof/>
          <w:sz w:val="27"/>
          <w:szCs w:val="27"/>
          <w:lang w:eastAsia="ru-RU"/>
        </w:rPr>
        <w:lastRenderedPageBreak/>
        <w:t>Хеджирование рисков процентной ставки и инфляции: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E02D69" w:rsidRPr="000C0F7A">
        <w:rPr>
          <w:rFonts w:ascii="Times New Roman" w:hAnsi="Times New Roman"/>
          <w:noProof/>
          <w:sz w:val="27"/>
          <w:szCs w:val="27"/>
          <w:lang w:eastAsia="ru-RU"/>
        </w:rPr>
        <w:t>решение ряда</w:t>
      </w:r>
      <w:r w:rsidR="00086AB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фондов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воспользоваться данным инструментарием</w:t>
      </w:r>
      <w:r w:rsidR="00086AB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DE3D4C" w:rsidRPr="000C0F7A">
        <w:rPr>
          <w:rFonts w:ascii="Times New Roman" w:hAnsi="Times New Roman"/>
          <w:noProof/>
          <w:sz w:val="27"/>
          <w:szCs w:val="27"/>
          <w:lang w:eastAsia="ru-RU"/>
        </w:rPr>
        <w:t>выглядит благоразумным</w:t>
      </w:r>
      <w:r w:rsidR="00086AB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: </w:t>
      </w:r>
      <w:r w:rsidR="00C42565" w:rsidRPr="000C0F7A">
        <w:rPr>
          <w:rFonts w:ascii="Times New Roman" w:hAnsi="Times New Roman"/>
          <w:noProof/>
          <w:sz w:val="27"/>
          <w:szCs w:val="27"/>
          <w:lang w:eastAsia="ru-RU"/>
        </w:rPr>
        <w:t>так</w:t>
      </w:r>
      <w:r w:rsidR="00E60C99" w:rsidRPr="000C0F7A">
        <w:rPr>
          <w:rFonts w:ascii="Times New Roman" w:hAnsi="Times New Roman"/>
          <w:noProof/>
          <w:sz w:val="27"/>
          <w:szCs w:val="27"/>
          <w:lang w:eastAsia="ru-RU"/>
        </w:rPr>
        <w:t>,</w:t>
      </w:r>
      <w:r w:rsidR="00086AB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хеджирование</w:t>
      </w:r>
      <w:r w:rsidR="00E60C9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британскими</w:t>
      </w:r>
      <w:r w:rsidR="00086AB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фондами риска процентных ставок выросло на 26% (до €31,6 млрд.), а хеджировани</w:t>
      </w:r>
      <w:r w:rsidR="00E60C99" w:rsidRPr="000C0F7A">
        <w:rPr>
          <w:rFonts w:ascii="Times New Roman" w:hAnsi="Times New Roman"/>
          <w:noProof/>
          <w:sz w:val="27"/>
          <w:szCs w:val="27"/>
          <w:lang w:eastAsia="ru-RU"/>
        </w:rPr>
        <w:t>е</w:t>
      </w:r>
      <w:r w:rsidR="00086AB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риска инфляции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теми же фондами </w:t>
      </w:r>
      <w:r w:rsidR="00086AB4" w:rsidRPr="000C0F7A">
        <w:rPr>
          <w:rFonts w:ascii="Times New Roman" w:hAnsi="Times New Roman"/>
          <w:noProof/>
          <w:sz w:val="27"/>
          <w:szCs w:val="27"/>
          <w:lang w:eastAsia="ru-RU"/>
        </w:rPr>
        <w:t>выросло на 2% (до €23,7 млрд.).</w:t>
      </w:r>
      <w:r w:rsidR="00D93C0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В обозримом будущем ожидается дальнейший рост ст</w:t>
      </w:r>
      <w:r w:rsidR="005000D6" w:rsidRPr="000C0F7A">
        <w:rPr>
          <w:rFonts w:ascii="Times New Roman" w:hAnsi="Times New Roman"/>
          <w:noProof/>
          <w:sz w:val="27"/>
          <w:szCs w:val="27"/>
          <w:lang w:eastAsia="ru-RU"/>
        </w:rPr>
        <w:t>рахования по данным видам риска;</w:t>
      </w:r>
    </w:p>
    <w:p w:rsidR="00D93C09" w:rsidRPr="000C0F7A" w:rsidRDefault="00C31AD1" w:rsidP="000C0F7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i/>
          <w:noProof/>
          <w:sz w:val="27"/>
          <w:szCs w:val="27"/>
          <w:lang w:eastAsia="ru-RU"/>
        </w:rPr>
        <w:t xml:space="preserve">Хеджирование риска продолжительности жизни: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р</w:t>
      </w:r>
      <w:r w:rsidR="00E93DB4" w:rsidRPr="000C0F7A">
        <w:rPr>
          <w:rFonts w:ascii="Times New Roman" w:hAnsi="Times New Roman"/>
          <w:noProof/>
          <w:sz w:val="27"/>
          <w:szCs w:val="27"/>
          <w:lang w:eastAsia="ru-RU"/>
        </w:rPr>
        <w:t>иск роста обязательств фондов в следствие роста продолж</w:t>
      </w:r>
      <w:r w:rsidR="00B31F15" w:rsidRPr="000C0F7A">
        <w:rPr>
          <w:rFonts w:ascii="Times New Roman" w:hAnsi="Times New Roman"/>
          <w:noProof/>
          <w:sz w:val="27"/>
          <w:szCs w:val="27"/>
          <w:lang w:eastAsia="ru-RU"/>
        </w:rPr>
        <w:t>ите</w:t>
      </w:r>
      <w:r w:rsidR="00BE478A" w:rsidRPr="000C0F7A">
        <w:rPr>
          <w:rFonts w:ascii="Times New Roman" w:hAnsi="Times New Roman"/>
          <w:noProof/>
          <w:sz w:val="27"/>
          <w:szCs w:val="27"/>
          <w:lang w:eastAsia="ru-RU"/>
        </w:rPr>
        <w:t>л</w:t>
      </w:r>
      <w:r w:rsidR="00B31F15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ьности жизни </w:t>
      </w:r>
      <w:r w:rsidR="00E93DB4" w:rsidRPr="000C0F7A">
        <w:rPr>
          <w:rFonts w:ascii="Times New Roman" w:hAnsi="Times New Roman"/>
          <w:noProof/>
          <w:sz w:val="27"/>
          <w:szCs w:val="27"/>
          <w:lang w:eastAsia="ru-RU"/>
        </w:rPr>
        <w:t>хеджир</w:t>
      </w:r>
      <w:r w:rsidR="00B31F15" w:rsidRPr="000C0F7A">
        <w:rPr>
          <w:rFonts w:ascii="Times New Roman" w:hAnsi="Times New Roman"/>
          <w:noProof/>
          <w:sz w:val="27"/>
          <w:szCs w:val="27"/>
          <w:lang w:eastAsia="ru-RU"/>
        </w:rPr>
        <w:t>уется</w:t>
      </w:r>
      <w:r w:rsidR="00E93DB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посредством свопов продолжительности жизни</w:t>
      </w:r>
      <w:r w:rsidR="000F7BA7" w:rsidRPr="000C0F7A">
        <w:rPr>
          <w:rStyle w:val="a8"/>
          <w:rFonts w:ascii="Times New Roman" w:hAnsi="Times New Roman"/>
          <w:noProof/>
          <w:sz w:val="27"/>
          <w:szCs w:val="27"/>
          <w:lang w:eastAsia="ru-RU"/>
        </w:rPr>
        <w:footnoteReference w:id="12"/>
      </w:r>
      <w:r w:rsidR="00E93DB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(</w:t>
      </w:r>
      <w:r w:rsidR="00E93DB4" w:rsidRPr="000C0F7A">
        <w:rPr>
          <w:rFonts w:ascii="Times New Roman" w:hAnsi="Times New Roman"/>
          <w:noProof/>
          <w:sz w:val="27"/>
          <w:szCs w:val="27"/>
          <w:lang w:val="en-US" w:eastAsia="ru-RU"/>
        </w:rPr>
        <w:t>longevity</w:t>
      </w:r>
      <w:r w:rsidR="00E93DB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E93DB4" w:rsidRPr="000C0F7A">
        <w:rPr>
          <w:rFonts w:ascii="Times New Roman" w:hAnsi="Times New Roman"/>
          <w:noProof/>
          <w:sz w:val="27"/>
          <w:szCs w:val="27"/>
          <w:lang w:val="en-US" w:eastAsia="ru-RU"/>
        </w:rPr>
        <w:t>swaps</w:t>
      </w:r>
      <w:r w:rsidR="00E93DB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). </w:t>
      </w:r>
      <w:r w:rsidR="00C007B0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С 2009 года </w:t>
      </w:r>
      <w:r w:rsidR="00B608AC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рынок таких </w:t>
      </w:r>
      <w:r w:rsidR="000F7BA7" w:rsidRPr="000C0F7A">
        <w:rPr>
          <w:rFonts w:ascii="Times New Roman" w:hAnsi="Times New Roman"/>
          <w:noProof/>
          <w:sz w:val="27"/>
          <w:szCs w:val="27"/>
          <w:lang w:eastAsia="ru-RU"/>
        </w:rPr>
        <w:t>свопов</w:t>
      </w:r>
      <w:r w:rsidR="00B608AC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C007B0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в Великобритании </w:t>
      </w:r>
      <w:r w:rsidR="00B608AC" w:rsidRPr="000C0F7A">
        <w:rPr>
          <w:rFonts w:ascii="Times New Roman" w:hAnsi="Times New Roman"/>
          <w:noProof/>
          <w:sz w:val="27"/>
          <w:szCs w:val="27"/>
          <w:lang w:eastAsia="ru-RU"/>
        </w:rPr>
        <w:t>вырос более, чем</w:t>
      </w:r>
      <w:r w:rsidR="0002463D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на</w:t>
      </w:r>
      <w:r w:rsidR="00B608AC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£50 млрд.</w:t>
      </w:r>
      <w:r w:rsidR="00C5261D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Недавний опрос британских пенсионных фондов показал, что в ближайшие 5 лет половина из них собирается прибегнуть к инструментам страхования, в т.ч. посредством </w:t>
      </w:r>
      <w:r w:rsidR="00C5261D" w:rsidRPr="000C0F7A">
        <w:rPr>
          <w:rFonts w:ascii="Times New Roman" w:hAnsi="Times New Roman"/>
          <w:noProof/>
          <w:sz w:val="27"/>
          <w:szCs w:val="27"/>
          <w:lang w:val="en-US" w:eastAsia="ru-RU"/>
        </w:rPr>
        <w:t>longevity</w:t>
      </w:r>
      <w:r w:rsidR="00C5261D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C5261D" w:rsidRPr="000C0F7A">
        <w:rPr>
          <w:rFonts w:ascii="Times New Roman" w:hAnsi="Times New Roman"/>
          <w:noProof/>
          <w:sz w:val="27"/>
          <w:szCs w:val="27"/>
          <w:lang w:val="en-US" w:eastAsia="ru-RU"/>
        </w:rPr>
        <w:t>swaps</w:t>
      </w:r>
      <w:r w:rsidR="00734501" w:rsidRPr="000C0F7A">
        <w:rPr>
          <w:rFonts w:ascii="Times New Roman" w:hAnsi="Times New Roman"/>
          <w:noProof/>
          <w:sz w:val="27"/>
          <w:szCs w:val="27"/>
          <w:lang w:eastAsia="ru-RU"/>
        </w:rPr>
        <w:t>;</w:t>
      </w:r>
    </w:p>
    <w:p w:rsidR="00120B7F" w:rsidRPr="000C0F7A" w:rsidRDefault="00733239" w:rsidP="000C0F7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i/>
          <w:noProof/>
          <w:sz w:val="27"/>
          <w:szCs w:val="27"/>
          <w:lang w:eastAsia="ru-RU"/>
        </w:rPr>
        <w:t>Покупка аннуитета у страховой компании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  <w:r w:rsidR="00553A10" w:rsidRPr="000C0F7A">
        <w:rPr>
          <w:rFonts w:ascii="Times New Roman" w:hAnsi="Times New Roman"/>
          <w:noProof/>
          <w:sz w:val="27"/>
          <w:szCs w:val="27"/>
          <w:lang w:eastAsia="ru-RU"/>
        </w:rPr>
        <w:t>посредством фактической передачи контроля над пенсионными обязательствами третьей стороне является, пожалуй, последним сп</w:t>
      </w:r>
      <w:r w:rsidR="00DB325B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особом </w:t>
      </w:r>
      <w:r w:rsidR="00DC22C0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спасения пенсионных </w:t>
      </w:r>
      <w:r w:rsidR="00DB325B" w:rsidRPr="000C0F7A">
        <w:rPr>
          <w:rFonts w:ascii="Times New Roman" w:hAnsi="Times New Roman"/>
          <w:noProof/>
          <w:sz w:val="27"/>
          <w:szCs w:val="27"/>
          <w:lang w:eastAsia="ru-RU"/>
        </w:rPr>
        <w:t>средств</w:t>
      </w:r>
      <w:r w:rsidR="00DC22C0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участников</w:t>
      </w:r>
      <w:r w:rsidR="00734501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, </w:t>
      </w:r>
      <w:r w:rsidR="00553A10" w:rsidRPr="000C0F7A">
        <w:rPr>
          <w:rFonts w:ascii="Times New Roman" w:hAnsi="Times New Roman"/>
          <w:noProof/>
          <w:sz w:val="27"/>
          <w:szCs w:val="27"/>
          <w:lang w:eastAsia="ru-RU"/>
        </w:rPr>
        <w:t>т.к.</w:t>
      </w:r>
      <w:r w:rsidR="00B47F82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подразум</w:t>
      </w:r>
      <w:r w:rsidR="00120B7F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евает </w:t>
      </w:r>
      <w:r w:rsidR="004C2CBF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фактическую </w:t>
      </w:r>
      <w:r w:rsidR="00120B7F" w:rsidRPr="000C0F7A">
        <w:rPr>
          <w:rFonts w:ascii="Times New Roman" w:hAnsi="Times New Roman"/>
          <w:noProof/>
          <w:sz w:val="27"/>
          <w:szCs w:val="27"/>
          <w:lang w:eastAsia="ru-RU"/>
        </w:rPr>
        <w:t>ликвидацию фонда</w:t>
      </w:r>
      <w:r w:rsidR="00734501" w:rsidRPr="000C0F7A">
        <w:rPr>
          <w:rFonts w:ascii="Times New Roman" w:hAnsi="Times New Roman"/>
          <w:noProof/>
          <w:sz w:val="27"/>
          <w:szCs w:val="27"/>
          <w:lang w:eastAsia="ru-RU"/>
        </w:rPr>
        <w:t>.</w:t>
      </w:r>
      <w:r w:rsidR="00120B7F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</w:p>
    <w:p w:rsidR="00B92BFF" w:rsidRPr="000C0F7A" w:rsidRDefault="00B92BFF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Таким образом, изменение внешних условий функционирования вынуждает пенсионные фонды диверсифицировать инвестиционный портфель и принимать более высокие риски, для хеджирования которых используются сложные производные инструменты. В результате инвестиционная экспертиза пенсионных фондов становится более профессиональной, что должно положительно сказаться на доходности пенсионных портфелей. </w:t>
      </w:r>
      <w:r w:rsidR="00A27D5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Кроме того, </w:t>
      </w:r>
      <w:r w:rsidR="001F20E9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инвестируя в альтернативные </w:t>
      </w:r>
      <w:r w:rsidR="00447970" w:rsidRPr="000C0F7A">
        <w:rPr>
          <w:rFonts w:ascii="Times New Roman" w:hAnsi="Times New Roman"/>
          <w:noProof/>
          <w:sz w:val="27"/>
          <w:szCs w:val="27"/>
          <w:lang w:eastAsia="ru-RU"/>
        </w:rPr>
        <w:t>инструменты</w:t>
      </w:r>
      <w:r w:rsidR="00A27D54" w:rsidRPr="000C0F7A">
        <w:rPr>
          <w:rFonts w:ascii="Times New Roman" w:hAnsi="Times New Roman"/>
          <w:noProof/>
          <w:sz w:val="27"/>
          <w:szCs w:val="27"/>
          <w:lang w:eastAsia="ru-RU"/>
        </w:rPr>
        <w:t>, пенсионные фонды</w:t>
      </w:r>
      <w:r w:rsidR="00E54F4A" w:rsidRPr="000C0F7A">
        <w:rPr>
          <w:rFonts w:ascii="Times New Roman" w:hAnsi="Times New Roman"/>
          <w:noProof/>
          <w:sz w:val="27"/>
          <w:szCs w:val="27"/>
          <w:lang w:eastAsia="ru-RU"/>
        </w:rPr>
        <w:t>, в отличае от финансовых спекулянтов,</w:t>
      </w:r>
      <w:r w:rsidR="00A27D54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формируют и поддерживают устойчивый спрос на активы (не только финансовые, но и реальные)</w:t>
      </w:r>
      <w:r w:rsidR="00DD730F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, </w:t>
      </w:r>
      <w:r w:rsidR="00D73998" w:rsidRPr="000C0F7A">
        <w:rPr>
          <w:rFonts w:ascii="Times New Roman" w:hAnsi="Times New Roman"/>
          <w:noProof/>
          <w:sz w:val="27"/>
          <w:szCs w:val="27"/>
          <w:lang w:eastAsia="ru-RU"/>
        </w:rPr>
        <w:t>чт</w:t>
      </w:r>
      <w:r w:rsidR="00651303" w:rsidRPr="000C0F7A">
        <w:rPr>
          <w:rFonts w:ascii="Times New Roman" w:hAnsi="Times New Roman"/>
          <w:noProof/>
          <w:sz w:val="27"/>
          <w:szCs w:val="27"/>
          <w:lang w:eastAsia="ru-RU"/>
        </w:rPr>
        <w:t>о</w:t>
      </w:r>
      <w:r w:rsidR="00D73998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в перспективе может </w:t>
      </w:r>
      <w:r w:rsidR="00DD730F" w:rsidRPr="000C0F7A">
        <w:rPr>
          <w:rFonts w:ascii="Times New Roman" w:hAnsi="Times New Roman"/>
          <w:noProof/>
          <w:sz w:val="27"/>
          <w:szCs w:val="27"/>
          <w:lang w:eastAsia="ru-RU"/>
        </w:rPr>
        <w:t>оказ</w:t>
      </w:r>
      <w:r w:rsidR="00D73998" w:rsidRPr="000C0F7A">
        <w:rPr>
          <w:rFonts w:ascii="Times New Roman" w:hAnsi="Times New Roman"/>
          <w:noProof/>
          <w:sz w:val="27"/>
          <w:szCs w:val="27"/>
          <w:lang w:eastAsia="ru-RU"/>
        </w:rPr>
        <w:t>ать</w:t>
      </w:r>
      <w:r w:rsidR="00DD730F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стимулирующее воздействие на экономический рост. </w:t>
      </w:r>
    </w:p>
    <w:p w:rsidR="00DD730F" w:rsidRPr="000C0F7A" w:rsidRDefault="00035C25" w:rsidP="000C0F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0C0F7A">
        <w:rPr>
          <w:rFonts w:ascii="Times New Roman" w:hAnsi="Times New Roman"/>
          <w:noProof/>
          <w:sz w:val="27"/>
          <w:szCs w:val="27"/>
          <w:lang w:eastAsia="ru-RU"/>
        </w:rPr>
        <w:lastRenderedPageBreak/>
        <w:t>В связи с тем, что р</w:t>
      </w:r>
      <w:r w:rsidR="0035496A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асширение масштабов деятельности пенсионных фондов 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связано с повышением уровня риска, существенное внимание как регуляторов, так и участников рынка уделяется вопросам</w:t>
      </w:r>
      <w:r w:rsidR="0035496A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совершенствовани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>я</w:t>
      </w:r>
      <w:r w:rsidR="0035496A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 систем риск-менеджмента</w:t>
      </w:r>
      <w:r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. </w:t>
      </w:r>
      <w:r w:rsidR="00151476" w:rsidRPr="000C0F7A">
        <w:rPr>
          <w:rFonts w:ascii="Times New Roman" w:hAnsi="Times New Roman"/>
          <w:noProof/>
          <w:sz w:val="27"/>
          <w:szCs w:val="27"/>
          <w:lang w:eastAsia="ru-RU"/>
        </w:rPr>
        <w:t xml:space="preserve">В качестве лучшей мировой практики рассматривается риск-ориентированное управление активами, которое позволяет оперативно и комплексно реагировать на разнообразные вызовы внешней среды. </w:t>
      </w:r>
    </w:p>
    <w:sectPr w:rsidR="00DD730F" w:rsidRPr="000C0F7A" w:rsidSect="000C0F7A">
      <w:footerReference w:type="default" r:id="rId18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8A" w:rsidRDefault="00AA368A" w:rsidP="006B62F6">
      <w:pPr>
        <w:spacing w:after="0" w:line="240" w:lineRule="auto"/>
      </w:pPr>
      <w:r>
        <w:separator/>
      </w:r>
    </w:p>
  </w:endnote>
  <w:endnote w:type="continuationSeparator" w:id="0">
    <w:p w:rsidR="00AA368A" w:rsidRDefault="00AA368A" w:rsidP="006B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478815"/>
      <w:docPartObj>
        <w:docPartGallery w:val="Page Numbers (Bottom of Page)"/>
        <w:docPartUnique/>
      </w:docPartObj>
    </w:sdtPr>
    <w:sdtEndPr/>
    <w:sdtContent>
      <w:p w:rsidR="006B6CEB" w:rsidRDefault="006B6CE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7A">
          <w:rPr>
            <w:noProof/>
          </w:rPr>
          <w:t>1</w:t>
        </w:r>
        <w:r>
          <w:fldChar w:fldCharType="end"/>
        </w:r>
      </w:p>
    </w:sdtContent>
  </w:sdt>
  <w:p w:rsidR="006B6CEB" w:rsidRDefault="006B6C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8A" w:rsidRDefault="00AA368A" w:rsidP="006B62F6">
      <w:pPr>
        <w:spacing w:after="0" w:line="240" w:lineRule="auto"/>
      </w:pPr>
      <w:r>
        <w:separator/>
      </w:r>
    </w:p>
  </w:footnote>
  <w:footnote w:type="continuationSeparator" w:id="0">
    <w:p w:rsidR="00AA368A" w:rsidRDefault="00AA368A" w:rsidP="006B62F6">
      <w:pPr>
        <w:spacing w:after="0" w:line="240" w:lineRule="auto"/>
      </w:pPr>
      <w:r>
        <w:continuationSeparator/>
      </w:r>
    </w:p>
  </w:footnote>
  <w:footnote w:id="1">
    <w:p w:rsidR="00E731D5" w:rsidRPr="0047061F" w:rsidRDefault="00E731D5" w:rsidP="0047061F">
      <w:pPr>
        <w:pStyle w:val="a6"/>
        <w:spacing w:after="0"/>
        <w:rPr>
          <w:rFonts w:ascii="Times New Roman" w:hAnsi="Times New Roman"/>
          <w:sz w:val="16"/>
          <w:szCs w:val="16"/>
        </w:rPr>
      </w:pPr>
      <w:r w:rsidRPr="0047061F">
        <w:rPr>
          <w:rStyle w:val="a8"/>
          <w:rFonts w:ascii="Times New Roman" w:hAnsi="Times New Roman"/>
          <w:sz w:val="16"/>
          <w:szCs w:val="16"/>
        </w:rPr>
        <w:footnoteRef/>
      </w:r>
      <w:r w:rsidRPr="0047061F">
        <w:rPr>
          <w:rFonts w:ascii="Times New Roman" w:hAnsi="Times New Roman"/>
          <w:sz w:val="16"/>
          <w:szCs w:val="16"/>
        </w:rPr>
        <w:t xml:space="preserve"> График построен по данным из доклада ОЭСР и статистической базы ЦБ Нидерландов [</w:t>
      </w:r>
      <w:r w:rsidR="00426397" w:rsidRPr="0047061F">
        <w:rPr>
          <w:rFonts w:ascii="Times New Roman" w:hAnsi="Times New Roman"/>
          <w:sz w:val="16"/>
          <w:szCs w:val="16"/>
        </w:rPr>
        <w:t>6;</w:t>
      </w:r>
      <w:r w:rsidRPr="0047061F">
        <w:rPr>
          <w:rFonts w:ascii="Times New Roman" w:hAnsi="Times New Roman"/>
          <w:sz w:val="16"/>
          <w:szCs w:val="16"/>
        </w:rPr>
        <w:t>7].</w:t>
      </w:r>
    </w:p>
  </w:footnote>
  <w:footnote w:id="2">
    <w:p w:rsidR="003562E3" w:rsidRPr="006B6CEB" w:rsidRDefault="003562E3" w:rsidP="0047061F">
      <w:pPr>
        <w:pStyle w:val="a6"/>
        <w:spacing w:after="0"/>
        <w:jc w:val="both"/>
        <w:rPr>
          <w:rFonts w:ascii="Times New Roman" w:hAnsi="Times New Roman"/>
          <w:sz w:val="16"/>
          <w:szCs w:val="16"/>
        </w:rPr>
      </w:pPr>
      <w:r w:rsidRPr="0047061F">
        <w:rPr>
          <w:rStyle w:val="a8"/>
          <w:rFonts w:ascii="Times New Roman" w:hAnsi="Times New Roman"/>
          <w:sz w:val="16"/>
          <w:szCs w:val="16"/>
        </w:rPr>
        <w:footnoteRef/>
      </w:r>
      <w:r w:rsidRPr="0047061F">
        <w:rPr>
          <w:rFonts w:ascii="Times New Roman" w:hAnsi="Times New Roman"/>
          <w:sz w:val="16"/>
          <w:szCs w:val="16"/>
        </w:rPr>
        <w:t xml:space="preserve"> График построен по данным из докладов Департамента труда США [3;4].  Тренд построен для пенсионных схем </w:t>
      </w:r>
      <w:r w:rsidRPr="0047061F">
        <w:rPr>
          <w:rFonts w:ascii="Times New Roman" w:hAnsi="Times New Roman"/>
          <w:sz w:val="16"/>
          <w:szCs w:val="16"/>
          <w:lang w:val="en-US"/>
        </w:rPr>
        <w:t>defined</w:t>
      </w:r>
      <w:r w:rsidRPr="0047061F">
        <w:rPr>
          <w:rFonts w:ascii="Times New Roman" w:hAnsi="Times New Roman"/>
          <w:sz w:val="16"/>
          <w:szCs w:val="16"/>
        </w:rPr>
        <w:t xml:space="preserve"> </w:t>
      </w:r>
      <w:r w:rsidRPr="0047061F">
        <w:rPr>
          <w:rFonts w:ascii="Times New Roman" w:hAnsi="Times New Roman"/>
          <w:sz w:val="16"/>
          <w:szCs w:val="16"/>
          <w:lang w:val="en-US"/>
        </w:rPr>
        <w:t>benefit</w:t>
      </w:r>
      <w:r w:rsidRPr="0047061F">
        <w:rPr>
          <w:rFonts w:ascii="Times New Roman" w:hAnsi="Times New Roman"/>
          <w:sz w:val="16"/>
          <w:szCs w:val="16"/>
        </w:rPr>
        <w:t xml:space="preserve"> (</w:t>
      </w:r>
      <w:r w:rsidRPr="0047061F">
        <w:rPr>
          <w:rFonts w:ascii="Times New Roman" w:hAnsi="Times New Roman"/>
          <w:sz w:val="16"/>
          <w:szCs w:val="16"/>
          <w:lang w:val="en-US"/>
        </w:rPr>
        <w:t>DB</w:t>
      </w:r>
      <w:r w:rsidRPr="0047061F">
        <w:rPr>
          <w:rFonts w:ascii="Times New Roman" w:hAnsi="Times New Roman"/>
          <w:sz w:val="16"/>
          <w:szCs w:val="16"/>
        </w:rPr>
        <w:t>) – данные схемы предполагают заранее определенную сумму выплат (как правило, в зависимости от заработка и стажа работника) и, в случае недостатка финансирования, обязывают учредителя схемы финансировать ее дефицит. Тренд построен с учетом оценки реальной доходности ПФ США в 2013-2014 гг. (оранжевый пунктир на графике) и без учета оценки является более крутым.</w:t>
      </w:r>
    </w:p>
  </w:footnote>
  <w:footnote w:id="3">
    <w:p w:rsidR="00513CD9" w:rsidRPr="000A34FF" w:rsidRDefault="00513CD9" w:rsidP="000A34FF">
      <w:pPr>
        <w:pStyle w:val="a6"/>
        <w:spacing w:after="0"/>
        <w:rPr>
          <w:rFonts w:ascii="Times New Roman" w:hAnsi="Times New Roman"/>
          <w:sz w:val="16"/>
          <w:szCs w:val="16"/>
        </w:rPr>
      </w:pPr>
      <w:r w:rsidRPr="000A34FF">
        <w:rPr>
          <w:rStyle w:val="a8"/>
          <w:rFonts w:ascii="Times New Roman" w:hAnsi="Times New Roman"/>
          <w:sz w:val="16"/>
          <w:szCs w:val="16"/>
        </w:rPr>
        <w:footnoteRef/>
      </w:r>
      <w:r w:rsidRPr="000A34FF">
        <w:rPr>
          <w:rFonts w:ascii="Times New Roman" w:hAnsi="Times New Roman"/>
          <w:sz w:val="16"/>
          <w:szCs w:val="16"/>
        </w:rPr>
        <w:t xml:space="preserve"> График построен по данным из доклада ОЭСР [5].</w:t>
      </w:r>
    </w:p>
  </w:footnote>
  <w:footnote w:id="4">
    <w:p w:rsidR="00DC05C5" w:rsidRPr="000A34FF" w:rsidRDefault="00DC05C5" w:rsidP="000A34FF">
      <w:pPr>
        <w:pStyle w:val="a6"/>
        <w:spacing w:after="0"/>
        <w:jc w:val="both"/>
        <w:rPr>
          <w:rFonts w:ascii="Times New Roman" w:hAnsi="Times New Roman"/>
          <w:sz w:val="16"/>
          <w:szCs w:val="16"/>
        </w:rPr>
      </w:pPr>
      <w:r w:rsidRPr="000A34FF">
        <w:rPr>
          <w:rStyle w:val="a8"/>
          <w:rFonts w:ascii="Times New Roman" w:hAnsi="Times New Roman"/>
          <w:sz w:val="16"/>
          <w:szCs w:val="16"/>
        </w:rPr>
        <w:footnoteRef/>
      </w:r>
      <w:r w:rsidRPr="000A34FF">
        <w:rPr>
          <w:rFonts w:ascii="Times New Roman" w:hAnsi="Times New Roman"/>
          <w:sz w:val="16"/>
          <w:szCs w:val="16"/>
        </w:rPr>
        <w:t xml:space="preserve"> Отношение пенсионных активов (ПА) к пенсионным обязательствам (</w:t>
      </w:r>
      <w:proofErr w:type="gramStart"/>
      <w:r w:rsidRPr="000A34FF">
        <w:rPr>
          <w:rFonts w:ascii="Times New Roman" w:hAnsi="Times New Roman"/>
          <w:sz w:val="16"/>
          <w:szCs w:val="16"/>
        </w:rPr>
        <w:t>ПО</w:t>
      </w:r>
      <w:proofErr w:type="gramEnd"/>
      <w:r w:rsidRPr="000A34FF">
        <w:rPr>
          <w:rFonts w:ascii="Times New Roman" w:hAnsi="Times New Roman"/>
          <w:sz w:val="16"/>
          <w:szCs w:val="16"/>
        </w:rPr>
        <w:t>).</w:t>
      </w:r>
    </w:p>
  </w:footnote>
  <w:footnote w:id="5">
    <w:p w:rsidR="005B35D3" w:rsidRDefault="005B35D3" w:rsidP="000A34FF">
      <w:pPr>
        <w:pStyle w:val="a6"/>
        <w:spacing w:after="0"/>
      </w:pPr>
      <w:r w:rsidRPr="000A34FF">
        <w:rPr>
          <w:rStyle w:val="a8"/>
          <w:rFonts w:ascii="Times New Roman" w:hAnsi="Times New Roman"/>
          <w:sz w:val="16"/>
          <w:szCs w:val="16"/>
        </w:rPr>
        <w:footnoteRef/>
      </w:r>
      <w:r w:rsidRPr="000A34FF">
        <w:rPr>
          <w:rFonts w:ascii="Times New Roman" w:hAnsi="Times New Roman"/>
          <w:sz w:val="16"/>
          <w:szCs w:val="16"/>
        </w:rPr>
        <w:t xml:space="preserve"> График построен по данным из доклада консалтинговой компании </w:t>
      </w:r>
      <w:proofErr w:type="spellStart"/>
      <w:r w:rsidRPr="000A34FF">
        <w:rPr>
          <w:rFonts w:ascii="Times New Roman" w:hAnsi="Times New Roman"/>
          <w:sz w:val="16"/>
          <w:szCs w:val="16"/>
          <w:lang w:val="en-US"/>
        </w:rPr>
        <w:t>Milliman</w:t>
      </w:r>
      <w:proofErr w:type="spellEnd"/>
      <w:r w:rsidRPr="000A34FF">
        <w:rPr>
          <w:rFonts w:ascii="Times New Roman" w:hAnsi="Times New Roman"/>
          <w:sz w:val="16"/>
          <w:szCs w:val="16"/>
        </w:rPr>
        <w:t xml:space="preserve"> [2].</w:t>
      </w:r>
    </w:p>
  </w:footnote>
  <w:footnote w:id="6">
    <w:p w:rsidR="00AD5B16" w:rsidRDefault="00AD5B16" w:rsidP="000A34FF">
      <w:pPr>
        <w:pStyle w:val="a6"/>
        <w:spacing w:after="0"/>
        <w:jc w:val="both"/>
      </w:pPr>
      <w:r w:rsidRPr="00D3154F">
        <w:rPr>
          <w:rStyle w:val="a8"/>
          <w:rFonts w:ascii="Times New Roman" w:hAnsi="Times New Roman"/>
          <w:sz w:val="16"/>
          <w:szCs w:val="16"/>
        </w:rPr>
        <w:footnoteRef/>
      </w:r>
      <w:r w:rsidRPr="00D3154F">
        <w:rPr>
          <w:rFonts w:ascii="Times New Roman" w:hAnsi="Times New Roman"/>
          <w:sz w:val="16"/>
          <w:szCs w:val="16"/>
        </w:rPr>
        <w:t xml:space="preserve"> В ЕС ставка дисконта формируется также в зависимости от ожидаемого уровня инфляции в 2%.</w:t>
      </w:r>
    </w:p>
  </w:footnote>
  <w:footnote w:id="7">
    <w:p w:rsidR="00265E54" w:rsidRDefault="00265E54">
      <w:pPr>
        <w:pStyle w:val="a6"/>
      </w:pPr>
      <w:r>
        <w:rPr>
          <w:rStyle w:val="a8"/>
        </w:rPr>
        <w:footnoteRef/>
      </w:r>
      <w:r>
        <w:t xml:space="preserve"> </w:t>
      </w:r>
      <w:r w:rsidRPr="007A1301">
        <w:rPr>
          <w:rFonts w:ascii="Times New Roman" w:hAnsi="Times New Roman"/>
          <w:sz w:val="16"/>
          <w:szCs w:val="16"/>
        </w:rPr>
        <w:t xml:space="preserve">График построен по данным из доклада консалтинговой компании </w:t>
      </w:r>
      <w:proofErr w:type="spellStart"/>
      <w:r w:rsidRPr="007A1301">
        <w:rPr>
          <w:rFonts w:ascii="Times New Roman" w:hAnsi="Times New Roman"/>
          <w:sz w:val="16"/>
          <w:szCs w:val="16"/>
          <w:lang w:val="en-US"/>
        </w:rPr>
        <w:t>Milliman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5B35D3">
        <w:rPr>
          <w:rFonts w:ascii="Times New Roman" w:hAnsi="Times New Roman"/>
          <w:sz w:val="16"/>
          <w:szCs w:val="16"/>
        </w:rPr>
        <w:t>[</w:t>
      </w:r>
      <w:r>
        <w:rPr>
          <w:rFonts w:ascii="Times New Roman" w:hAnsi="Times New Roman"/>
          <w:sz w:val="16"/>
          <w:szCs w:val="16"/>
        </w:rPr>
        <w:t>2</w:t>
      </w:r>
      <w:r w:rsidRPr="005B35D3">
        <w:rPr>
          <w:rFonts w:ascii="Times New Roman" w:hAnsi="Times New Roman"/>
          <w:sz w:val="16"/>
          <w:szCs w:val="16"/>
        </w:rPr>
        <w:t>]</w:t>
      </w:r>
      <w:r w:rsidRPr="007A1301">
        <w:rPr>
          <w:rFonts w:ascii="Times New Roman" w:hAnsi="Times New Roman"/>
          <w:sz w:val="16"/>
          <w:szCs w:val="16"/>
        </w:rPr>
        <w:t>.</w:t>
      </w:r>
    </w:p>
  </w:footnote>
  <w:footnote w:id="8">
    <w:p w:rsidR="00D3154F" w:rsidRPr="006B6CEB" w:rsidRDefault="00D3154F" w:rsidP="000A34FF">
      <w:pPr>
        <w:pStyle w:val="a6"/>
        <w:spacing w:after="0"/>
        <w:jc w:val="both"/>
        <w:rPr>
          <w:rFonts w:ascii="Times New Roman" w:hAnsi="Times New Roman"/>
          <w:sz w:val="16"/>
          <w:szCs w:val="16"/>
        </w:rPr>
      </w:pPr>
      <w:r w:rsidRPr="006B6CEB">
        <w:rPr>
          <w:rStyle w:val="a8"/>
          <w:rFonts w:ascii="Times New Roman" w:hAnsi="Times New Roman"/>
          <w:sz w:val="16"/>
          <w:szCs w:val="16"/>
        </w:rPr>
        <w:footnoteRef/>
      </w:r>
      <w:r w:rsidRPr="006B6CEB">
        <w:rPr>
          <w:rFonts w:ascii="Times New Roman" w:hAnsi="Times New Roman"/>
          <w:sz w:val="16"/>
          <w:szCs w:val="16"/>
        </w:rPr>
        <w:t xml:space="preserve"> График построен по данным статистической базы ЕЦБ</w:t>
      </w:r>
      <w:r w:rsidR="00757D6A">
        <w:rPr>
          <w:rFonts w:ascii="Times New Roman" w:hAnsi="Times New Roman"/>
          <w:sz w:val="16"/>
          <w:szCs w:val="16"/>
        </w:rPr>
        <w:t xml:space="preserve"> </w:t>
      </w:r>
      <w:r w:rsidR="00757D6A" w:rsidRPr="00757D6A">
        <w:rPr>
          <w:rFonts w:ascii="Times New Roman" w:hAnsi="Times New Roman"/>
          <w:sz w:val="16"/>
          <w:szCs w:val="16"/>
        </w:rPr>
        <w:t>[</w:t>
      </w:r>
      <w:r w:rsidR="00757D6A">
        <w:rPr>
          <w:rFonts w:ascii="Times New Roman" w:hAnsi="Times New Roman"/>
          <w:sz w:val="16"/>
          <w:szCs w:val="16"/>
        </w:rPr>
        <w:t>8</w:t>
      </w:r>
      <w:r w:rsidR="00757D6A" w:rsidRPr="00757D6A">
        <w:rPr>
          <w:rFonts w:ascii="Times New Roman" w:hAnsi="Times New Roman"/>
          <w:sz w:val="16"/>
          <w:szCs w:val="16"/>
        </w:rPr>
        <w:t>]</w:t>
      </w:r>
      <w:r w:rsidRPr="006B6CEB">
        <w:rPr>
          <w:rFonts w:ascii="Times New Roman" w:hAnsi="Times New Roman"/>
          <w:sz w:val="16"/>
          <w:szCs w:val="16"/>
        </w:rPr>
        <w:t>, которая учитывает только накопительные пенсионные схемы: обязательные и добровольные.</w:t>
      </w:r>
      <w:r w:rsidRPr="006B6CEB">
        <w:rPr>
          <w:rFonts w:ascii="Times New Roman" w:eastAsiaTheme="minorEastAsia" w:hAnsi="Times New Roman"/>
          <w:color w:val="000000" w:themeColor="text1"/>
          <w:kern w:val="24"/>
          <w:sz w:val="16"/>
          <w:szCs w:val="16"/>
          <w:lang w:eastAsia="ru-RU"/>
        </w:rPr>
        <w:t xml:space="preserve"> </w:t>
      </w:r>
      <w:r w:rsidRPr="006B6CEB">
        <w:rPr>
          <w:rFonts w:ascii="Times New Roman" w:hAnsi="Times New Roman"/>
          <w:sz w:val="16"/>
          <w:szCs w:val="16"/>
        </w:rPr>
        <w:t>«Акции» включают внебиржевые акции компаний; «Нефинансовые активы» включают недвижимость и землю; «</w:t>
      </w:r>
      <w:proofErr w:type="spellStart"/>
      <w:r w:rsidRPr="006B6CEB">
        <w:rPr>
          <w:rFonts w:ascii="Times New Roman" w:hAnsi="Times New Roman"/>
          <w:sz w:val="16"/>
          <w:szCs w:val="16"/>
        </w:rPr>
        <w:t>Цен</w:t>
      </w:r>
      <w:proofErr w:type="gramStart"/>
      <w:r w:rsidRPr="006B6CEB">
        <w:rPr>
          <w:rFonts w:ascii="Times New Roman" w:hAnsi="Times New Roman"/>
          <w:sz w:val="16"/>
          <w:szCs w:val="16"/>
        </w:rPr>
        <w:t>.б</w:t>
      </w:r>
      <w:proofErr w:type="gramEnd"/>
      <w:r w:rsidRPr="006B6CEB">
        <w:rPr>
          <w:rFonts w:ascii="Times New Roman" w:hAnsi="Times New Roman"/>
          <w:sz w:val="16"/>
          <w:szCs w:val="16"/>
        </w:rPr>
        <w:t>ум</w:t>
      </w:r>
      <w:proofErr w:type="spellEnd"/>
      <w:r w:rsidRPr="006B6CEB">
        <w:rPr>
          <w:rFonts w:ascii="Times New Roman" w:hAnsi="Times New Roman"/>
          <w:sz w:val="16"/>
          <w:szCs w:val="16"/>
        </w:rPr>
        <w:t xml:space="preserve">. кроме акций» включают государственный и корпоративный долги; «Займы» включают ссуды нефинансовым  корпорациям и прочим </w:t>
      </w:r>
      <w:proofErr w:type="spellStart"/>
      <w:r w:rsidRPr="006B6CEB">
        <w:rPr>
          <w:rFonts w:ascii="Times New Roman" w:hAnsi="Times New Roman"/>
          <w:sz w:val="16"/>
          <w:szCs w:val="16"/>
        </w:rPr>
        <w:t>юрлицам</w:t>
      </w:r>
      <w:proofErr w:type="spellEnd"/>
      <w:r w:rsidRPr="006B6CEB">
        <w:rPr>
          <w:rFonts w:ascii="Times New Roman" w:hAnsi="Times New Roman"/>
          <w:sz w:val="16"/>
          <w:szCs w:val="16"/>
        </w:rPr>
        <w:t>.</w:t>
      </w:r>
    </w:p>
  </w:footnote>
  <w:footnote w:id="9">
    <w:p w:rsidR="00D81C5C" w:rsidRDefault="00D81C5C" w:rsidP="000A34FF">
      <w:pPr>
        <w:pStyle w:val="a6"/>
        <w:spacing w:after="0"/>
      </w:pPr>
      <w:r>
        <w:rPr>
          <w:rStyle w:val="a8"/>
        </w:rPr>
        <w:footnoteRef/>
      </w:r>
      <w:r>
        <w:t xml:space="preserve"> </w:t>
      </w:r>
      <w:r w:rsidRPr="006B6CEB">
        <w:rPr>
          <w:rFonts w:ascii="Times New Roman" w:hAnsi="Times New Roman"/>
          <w:sz w:val="16"/>
          <w:szCs w:val="16"/>
        </w:rPr>
        <w:t>График построен по данным статистической базы ЕЦБ</w:t>
      </w:r>
      <w:r>
        <w:rPr>
          <w:rFonts w:ascii="Times New Roman" w:hAnsi="Times New Roman"/>
          <w:sz w:val="16"/>
          <w:szCs w:val="16"/>
        </w:rPr>
        <w:t xml:space="preserve"> </w:t>
      </w:r>
      <w:r w:rsidRPr="00757D6A">
        <w:rPr>
          <w:rFonts w:ascii="Times New Roman" w:hAnsi="Times New Roman"/>
          <w:sz w:val="16"/>
          <w:szCs w:val="16"/>
        </w:rPr>
        <w:t>[</w:t>
      </w:r>
      <w:r>
        <w:rPr>
          <w:rFonts w:ascii="Times New Roman" w:hAnsi="Times New Roman"/>
          <w:sz w:val="16"/>
          <w:szCs w:val="16"/>
        </w:rPr>
        <w:t>8</w:t>
      </w:r>
      <w:r w:rsidRPr="00757D6A">
        <w:rPr>
          <w:rFonts w:ascii="Times New Roman" w:hAnsi="Times New Roman"/>
          <w:sz w:val="16"/>
          <w:szCs w:val="16"/>
        </w:rPr>
        <w:t>]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0">
    <w:p w:rsidR="00836C3C" w:rsidRPr="000A34FF" w:rsidRDefault="00836C3C" w:rsidP="000A34FF">
      <w:pPr>
        <w:pStyle w:val="a6"/>
        <w:spacing w:after="0"/>
        <w:rPr>
          <w:rFonts w:ascii="Times New Roman" w:hAnsi="Times New Roman"/>
          <w:sz w:val="16"/>
          <w:szCs w:val="16"/>
        </w:rPr>
      </w:pPr>
      <w:r w:rsidRPr="000A34FF">
        <w:rPr>
          <w:rStyle w:val="a8"/>
          <w:rFonts w:ascii="Times New Roman" w:hAnsi="Times New Roman"/>
          <w:sz w:val="16"/>
          <w:szCs w:val="16"/>
        </w:rPr>
        <w:footnoteRef/>
      </w:r>
      <w:r w:rsidRPr="000A34FF">
        <w:rPr>
          <w:rFonts w:ascii="Times New Roman" w:hAnsi="Times New Roman"/>
          <w:sz w:val="16"/>
          <w:szCs w:val="16"/>
        </w:rPr>
        <w:t xml:space="preserve"> График построен по данным из доклада </w:t>
      </w:r>
      <w:r w:rsidRPr="000A34FF">
        <w:rPr>
          <w:rFonts w:ascii="Times New Roman" w:hAnsi="Times New Roman"/>
          <w:sz w:val="16"/>
          <w:szCs w:val="16"/>
          <w:lang w:val="en-US"/>
        </w:rPr>
        <w:t>PwC</w:t>
      </w:r>
      <w:r w:rsidRPr="000A34FF">
        <w:rPr>
          <w:rFonts w:ascii="Times New Roman" w:hAnsi="Times New Roman"/>
          <w:sz w:val="16"/>
          <w:szCs w:val="16"/>
        </w:rPr>
        <w:t xml:space="preserve"> [1].</w:t>
      </w:r>
    </w:p>
  </w:footnote>
  <w:footnote w:id="11">
    <w:p w:rsidR="00D42C57" w:rsidRPr="006B6CEB" w:rsidRDefault="00D42C57" w:rsidP="000A34FF">
      <w:pPr>
        <w:pStyle w:val="a6"/>
        <w:spacing w:after="0"/>
        <w:jc w:val="both"/>
        <w:rPr>
          <w:rFonts w:ascii="Times New Roman" w:hAnsi="Times New Roman"/>
          <w:sz w:val="16"/>
          <w:szCs w:val="16"/>
        </w:rPr>
      </w:pPr>
      <w:r w:rsidRPr="000A34FF">
        <w:rPr>
          <w:rStyle w:val="a8"/>
          <w:rFonts w:ascii="Times New Roman" w:hAnsi="Times New Roman"/>
          <w:sz w:val="16"/>
          <w:szCs w:val="16"/>
        </w:rPr>
        <w:footnoteRef/>
      </w:r>
      <w:r w:rsidRPr="000A34FF">
        <w:rPr>
          <w:rFonts w:ascii="Times New Roman" w:hAnsi="Times New Roman"/>
          <w:sz w:val="16"/>
          <w:szCs w:val="16"/>
        </w:rPr>
        <w:t xml:space="preserve"> Меры по увеличению взносов</w:t>
      </w:r>
      <w:r w:rsidR="00326702" w:rsidRPr="000A34FF">
        <w:rPr>
          <w:rFonts w:ascii="Times New Roman" w:hAnsi="Times New Roman"/>
          <w:sz w:val="16"/>
          <w:szCs w:val="16"/>
        </w:rPr>
        <w:t>, снижению выплат</w:t>
      </w:r>
      <w:r w:rsidRPr="000A34FF">
        <w:rPr>
          <w:rFonts w:ascii="Times New Roman" w:hAnsi="Times New Roman"/>
          <w:sz w:val="16"/>
          <w:szCs w:val="16"/>
        </w:rPr>
        <w:t xml:space="preserve"> или принудительному расширению участия работников в пенсионн</w:t>
      </w:r>
      <w:r w:rsidR="009A6193">
        <w:rPr>
          <w:rFonts w:ascii="Times New Roman" w:hAnsi="Times New Roman"/>
          <w:sz w:val="16"/>
          <w:szCs w:val="16"/>
        </w:rPr>
        <w:t>ых</w:t>
      </w:r>
      <w:r w:rsidRPr="000A34FF">
        <w:rPr>
          <w:rFonts w:ascii="Times New Roman" w:hAnsi="Times New Roman"/>
          <w:sz w:val="16"/>
          <w:szCs w:val="16"/>
        </w:rPr>
        <w:t xml:space="preserve"> </w:t>
      </w:r>
      <w:r w:rsidR="009A6193">
        <w:rPr>
          <w:rFonts w:ascii="Times New Roman" w:hAnsi="Times New Roman"/>
          <w:sz w:val="16"/>
          <w:szCs w:val="16"/>
        </w:rPr>
        <w:t>схемах</w:t>
      </w:r>
      <w:r w:rsidRPr="000A34FF">
        <w:rPr>
          <w:rFonts w:ascii="Times New Roman" w:hAnsi="Times New Roman"/>
          <w:sz w:val="16"/>
          <w:szCs w:val="16"/>
        </w:rPr>
        <w:t xml:space="preserve"> здесь не рассматриваются.</w:t>
      </w:r>
    </w:p>
  </w:footnote>
  <w:footnote w:id="12">
    <w:p w:rsidR="000F7BA7" w:rsidRPr="000E582C" w:rsidRDefault="000F7BA7" w:rsidP="00CD770D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0E582C">
        <w:rPr>
          <w:rStyle w:val="a8"/>
          <w:rFonts w:ascii="Times New Roman" w:hAnsi="Times New Roman"/>
          <w:sz w:val="16"/>
          <w:szCs w:val="16"/>
        </w:rPr>
        <w:footnoteRef/>
      </w:r>
      <w:r w:rsidRPr="000E582C">
        <w:rPr>
          <w:rFonts w:ascii="Times New Roman" w:hAnsi="Times New Roman"/>
          <w:sz w:val="16"/>
          <w:szCs w:val="16"/>
        </w:rPr>
        <w:t xml:space="preserve"> </w:t>
      </w:r>
      <w:r w:rsidR="00C31AD1" w:rsidRPr="000E582C">
        <w:rPr>
          <w:rFonts w:ascii="Times New Roman" w:hAnsi="Times New Roman"/>
          <w:sz w:val="16"/>
          <w:szCs w:val="16"/>
        </w:rPr>
        <w:t xml:space="preserve">Инструмент </w:t>
      </w:r>
      <w:r w:rsidR="00CD770D" w:rsidRPr="000E582C">
        <w:rPr>
          <w:rFonts w:ascii="Times New Roman" w:hAnsi="Times New Roman"/>
          <w:sz w:val="16"/>
          <w:szCs w:val="16"/>
        </w:rPr>
        <w:t xml:space="preserve">предполагает уплату </w:t>
      </w:r>
      <w:r w:rsidR="00992C5C" w:rsidRPr="000E582C">
        <w:rPr>
          <w:rFonts w:ascii="Times New Roman" w:hAnsi="Times New Roman"/>
          <w:sz w:val="16"/>
          <w:szCs w:val="16"/>
        </w:rPr>
        <w:t xml:space="preserve">фондом </w:t>
      </w:r>
      <w:r w:rsidR="00CD770D" w:rsidRPr="000E582C">
        <w:rPr>
          <w:rFonts w:ascii="Times New Roman" w:hAnsi="Times New Roman"/>
          <w:sz w:val="16"/>
          <w:szCs w:val="16"/>
        </w:rPr>
        <w:t xml:space="preserve">премий страховой компании за то, что страховая компания соглашается взять на себя обязательства фонда по пенсионному обеспечению участника в случае, если </w:t>
      </w:r>
      <w:r w:rsidR="00992C5C" w:rsidRPr="000E582C">
        <w:rPr>
          <w:rFonts w:ascii="Times New Roman" w:hAnsi="Times New Roman"/>
          <w:sz w:val="16"/>
          <w:szCs w:val="16"/>
        </w:rPr>
        <w:t xml:space="preserve">фактическая </w:t>
      </w:r>
      <w:r w:rsidR="00CD770D" w:rsidRPr="000E582C">
        <w:rPr>
          <w:rFonts w:ascii="Times New Roman" w:hAnsi="Times New Roman"/>
          <w:sz w:val="16"/>
          <w:szCs w:val="16"/>
        </w:rPr>
        <w:t>продолжительность жизни</w:t>
      </w:r>
      <w:r w:rsidR="00992C5C" w:rsidRPr="000E582C">
        <w:rPr>
          <w:rFonts w:ascii="Times New Roman" w:hAnsi="Times New Roman"/>
          <w:sz w:val="16"/>
          <w:szCs w:val="16"/>
        </w:rPr>
        <w:t xml:space="preserve"> участника</w:t>
      </w:r>
      <w:r w:rsidR="00CD770D" w:rsidRPr="000E582C">
        <w:rPr>
          <w:rFonts w:ascii="Times New Roman" w:hAnsi="Times New Roman"/>
          <w:sz w:val="16"/>
          <w:szCs w:val="16"/>
        </w:rPr>
        <w:t xml:space="preserve"> окажется выше актуарной оценки продолжительности </w:t>
      </w:r>
      <w:r w:rsidR="000D6C03" w:rsidRPr="000E582C">
        <w:rPr>
          <w:rFonts w:ascii="Times New Roman" w:hAnsi="Times New Roman"/>
          <w:sz w:val="16"/>
          <w:szCs w:val="16"/>
        </w:rPr>
        <w:t xml:space="preserve">его </w:t>
      </w:r>
      <w:r w:rsidR="00CD770D" w:rsidRPr="000E582C">
        <w:rPr>
          <w:rFonts w:ascii="Times New Roman" w:hAnsi="Times New Roman"/>
          <w:sz w:val="16"/>
          <w:szCs w:val="16"/>
        </w:rPr>
        <w:t>жизни.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D1E"/>
    <w:multiLevelType w:val="hybridMultilevel"/>
    <w:tmpl w:val="EE4A2AB8"/>
    <w:lvl w:ilvl="0" w:tplc="BC8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14036A"/>
    <w:multiLevelType w:val="hybridMultilevel"/>
    <w:tmpl w:val="C882DF8E"/>
    <w:lvl w:ilvl="0" w:tplc="5D0E4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23"/>
    <w:rsid w:val="00001831"/>
    <w:rsid w:val="00002A5D"/>
    <w:rsid w:val="0001751B"/>
    <w:rsid w:val="00017DE3"/>
    <w:rsid w:val="0002463D"/>
    <w:rsid w:val="00030A20"/>
    <w:rsid w:val="00035C25"/>
    <w:rsid w:val="000418A7"/>
    <w:rsid w:val="000536F6"/>
    <w:rsid w:val="00086AB4"/>
    <w:rsid w:val="000903D9"/>
    <w:rsid w:val="00092F32"/>
    <w:rsid w:val="000A34FF"/>
    <w:rsid w:val="000A5D12"/>
    <w:rsid w:val="000B15D2"/>
    <w:rsid w:val="000B3385"/>
    <w:rsid w:val="000C0F7A"/>
    <w:rsid w:val="000C3DEB"/>
    <w:rsid w:val="000D0A9E"/>
    <w:rsid w:val="000D483C"/>
    <w:rsid w:val="000D6C03"/>
    <w:rsid w:val="000E179E"/>
    <w:rsid w:val="000E582C"/>
    <w:rsid w:val="000F0E38"/>
    <w:rsid w:val="000F13B3"/>
    <w:rsid w:val="000F7BA7"/>
    <w:rsid w:val="00117A6F"/>
    <w:rsid w:val="00120082"/>
    <w:rsid w:val="00120B7F"/>
    <w:rsid w:val="001241DF"/>
    <w:rsid w:val="0012502D"/>
    <w:rsid w:val="001264E2"/>
    <w:rsid w:val="00134F92"/>
    <w:rsid w:val="0014521A"/>
    <w:rsid w:val="00151476"/>
    <w:rsid w:val="001519AF"/>
    <w:rsid w:val="00160688"/>
    <w:rsid w:val="00191210"/>
    <w:rsid w:val="00191257"/>
    <w:rsid w:val="001B76F7"/>
    <w:rsid w:val="001C1F44"/>
    <w:rsid w:val="001C615F"/>
    <w:rsid w:val="001E022C"/>
    <w:rsid w:val="001F1CE4"/>
    <w:rsid w:val="001F20E9"/>
    <w:rsid w:val="001F499B"/>
    <w:rsid w:val="00212F1B"/>
    <w:rsid w:val="002311C4"/>
    <w:rsid w:val="00237DA2"/>
    <w:rsid w:val="002411CE"/>
    <w:rsid w:val="002432D9"/>
    <w:rsid w:val="00265E54"/>
    <w:rsid w:val="002679EB"/>
    <w:rsid w:val="00275AD2"/>
    <w:rsid w:val="0029197A"/>
    <w:rsid w:val="00295CD5"/>
    <w:rsid w:val="002C0875"/>
    <w:rsid w:val="002D137C"/>
    <w:rsid w:val="002F79E7"/>
    <w:rsid w:val="002F7F36"/>
    <w:rsid w:val="00304DA5"/>
    <w:rsid w:val="00321AA2"/>
    <w:rsid w:val="00326702"/>
    <w:rsid w:val="0035013D"/>
    <w:rsid w:val="0035496A"/>
    <w:rsid w:val="003562E3"/>
    <w:rsid w:val="003830CB"/>
    <w:rsid w:val="003906B9"/>
    <w:rsid w:val="003A119D"/>
    <w:rsid w:val="003B10D7"/>
    <w:rsid w:val="003C027D"/>
    <w:rsid w:val="003C4CA4"/>
    <w:rsid w:val="003C51A2"/>
    <w:rsid w:val="003D79F9"/>
    <w:rsid w:val="003E4A9A"/>
    <w:rsid w:val="00403B51"/>
    <w:rsid w:val="00417D79"/>
    <w:rsid w:val="00420897"/>
    <w:rsid w:val="00421EAA"/>
    <w:rsid w:val="004243CC"/>
    <w:rsid w:val="00426397"/>
    <w:rsid w:val="004351C6"/>
    <w:rsid w:val="0043631A"/>
    <w:rsid w:val="00437830"/>
    <w:rsid w:val="00437DA6"/>
    <w:rsid w:val="00447970"/>
    <w:rsid w:val="0046449B"/>
    <w:rsid w:val="00466F4E"/>
    <w:rsid w:val="0047061F"/>
    <w:rsid w:val="004763DA"/>
    <w:rsid w:val="004847A5"/>
    <w:rsid w:val="0049565C"/>
    <w:rsid w:val="004969B4"/>
    <w:rsid w:val="004C2CBF"/>
    <w:rsid w:val="004C39BD"/>
    <w:rsid w:val="004D22F9"/>
    <w:rsid w:val="004D5DE9"/>
    <w:rsid w:val="004E66F4"/>
    <w:rsid w:val="005000D6"/>
    <w:rsid w:val="005034EA"/>
    <w:rsid w:val="00504A78"/>
    <w:rsid w:val="0050728D"/>
    <w:rsid w:val="00513CD9"/>
    <w:rsid w:val="00515682"/>
    <w:rsid w:val="00516BCA"/>
    <w:rsid w:val="00517E2F"/>
    <w:rsid w:val="00534D1E"/>
    <w:rsid w:val="005376B0"/>
    <w:rsid w:val="0053774F"/>
    <w:rsid w:val="0055106C"/>
    <w:rsid w:val="00553A10"/>
    <w:rsid w:val="00595E91"/>
    <w:rsid w:val="005B35D3"/>
    <w:rsid w:val="005C78B2"/>
    <w:rsid w:val="005D1239"/>
    <w:rsid w:val="005D7CC3"/>
    <w:rsid w:val="005E03B2"/>
    <w:rsid w:val="005E15F7"/>
    <w:rsid w:val="005F258E"/>
    <w:rsid w:val="0061029E"/>
    <w:rsid w:val="00610A58"/>
    <w:rsid w:val="006118D2"/>
    <w:rsid w:val="006204DB"/>
    <w:rsid w:val="00620D15"/>
    <w:rsid w:val="00651303"/>
    <w:rsid w:val="00653846"/>
    <w:rsid w:val="006552D1"/>
    <w:rsid w:val="00663B61"/>
    <w:rsid w:val="00672AE4"/>
    <w:rsid w:val="00673BAD"/>
    <w:rsid w:val="006A73DA"/>
    <w:rsid w:val="006B58EE"/>
    <w:rsid w:val="006B62F6"/>
    <w:rsid w:val="006B6CEB"/>
    <w:rsid w:val="006C1C29"/>
    <w:rsid w:val="006C4E40"/>
    <w:rsid w:val="006E5934"/>
    <w:rsid w:val="006F46AF"/>
    <w:rsid w:val="006F4700"/>
    <w:rsid w:val="0070354E"/>
    <w:rsid w:val="0071184D"/>
    <w:rsid w:val="00713587"/>
    <w:rsid w:val="0071523C"/>
    <w:rsid w:val="0071535E"/>
    <w:rsid w:val="007158FD"/>
    <w:rsid w:val="00724EA5"/>
    <w:rsid w:val="00733239"/>
    <w:rsid w:val="00734501"/>
    <w:rsid w:val="00734AFA"/>
    <w:rsid w:val="007477B2"/>
    <w:rsid w:val="00756984"/>
    <w:rsid w:val="00757D6A"/>
    <w:rsid w:val="00762519"/>
    <w:rsid w:val="007820A2"/>
    <w:rsid w:val="00782849"/>
    <w:rsid w:val="00782E22"/>
    <w:rsid w:val="00791F3D"/>
    <w:rsid w:val="007A502D"/>
    <w:rsid w:val="007A5B83"/>
    <w:rsid w:val="007A7FB2"/>
    <w:rsid w:val="007B66B9"/>
    <w:rsid w:val="007C45FD"/>
    <w:rsid w:val="007C7303"/>
    <w:rsid w:val="007D50CE"/>
    <w:rsid w:val="007E1A80"/>
    <w:rsid w:val="007E7103"/>
    <w:rsid w:val="00823BFB"/>
    <w:rsid w:val="0082526E"/>
    <w:rsid w:val="00834875"/>
    <w:rsid w:val="00836C3C"/>
    <w:rsid w:val="008628B9"/>
    <w:rsid w:val="008633E2"/>
    <w:rsid w:val="00865234"/>
    <w:rsid w:val="00867C9B"/>
    <w:rsid w:val="008848A4"/>
    <w:rsid w:val="00885A61"/>
    <w:rsid w:val="00890F67"/>
    <w:rsid w:val="00893DB9"/>
    <w:rsid w:val="00896132"/>
    <w:rsid w:val="008A4B13"/>
    <w:rsid w:val="008B1CFD"/>
    <w:rsid w:val="008B3E7B"/>
    <w:rsid w:val="008B5474"/>
    <w:rsid w:val="008D1E5D"/>
    <w:rsid w:val="008F4DEA"/>
    <w:rsid w:val="009053B3"/>
    <w:rsid w:val="00910E1C"/>
    <w:rsid w:val="009203F0"/>
    <w:rsid w:val="00926A89"/>
    <w:rsid w:val="0096002D"/>
    <w:rsid w:val="0098121C"/>
    <w:rsid w:val="009822F7"/>
    <w:rsid w:val="0098660B"/>
    <w:rsid w:val="00986F93"/>
    <w:rsid w:val="00992C5C"/>
    <w:rsid w:val="0099447E"/>
    <w:rsid w:val="00996B6F"/>
    <w:rsid w:val="009A2414"/>
    <w:rsid w:val="009A6193"/>
    <w:rsid w:val="009B2F67"/>
    <w:rsid w:val="009B62AE"/>
    <w:rsid w:val="009D575A"/>
    <w:rsid w:val="009D61DB"/>
    <w:rsid w:val="009E2326"/>
    <w:rsid w:val="009E71D3"/>
    <w:rsid w:val="009E7FA8"/>
    <w:rsid w:val="009F3717"/>
    <w:rsid w:val="00A06E23"/>
    <w:rsid w:val="00A23312"/>
    <w:rsid w:val="00A254ED"/>
    <w:rsid w:val="00A27D54"/>
    <w:rsid w:val="00A32B6A"/>
    <w:rsid w:val="00A620FA"/>
    <w:rsid w:val="00A65F42"/>
    <w:rsid w:val="00A8698D"/>
    <w:rsid w:val="00A87D8C"/>
    <w:rsid w:val="00A96A17"/>
    <w:rsid w:val="00AA05B8"/>
    <w:rsid w:val="00AA368A"/>
    <w:rsid w:val="00AA3F42"/>
    <w:rsid w:val="00AA53E2"/>
    <w:rsid w:val="00AC6A43"/>
    <w:rsid w:val="00AD5B16"/>
    <w:rsid w:val="00AE232A"/>
    <w:rsid w:val="00AF3053"/>
    <w:rsid w:val="00AF7671"/>
    <w:rsid w:val="00B23CA6"/>
    <w:rsid w:val="00B306E6"/>
    <w:rsid w:val="00B31F15"/>
    <w:rsid w:val="00B47F82"/>
    <w:rsid w:val="00B56879"/>
    <w:rsid w:val="00B608AC"/>
    <w:rsid w:val="00B704F0"/>
    <w:rsid w:val="00B705BD"/>
    <w:rsid w:val="00B775F6"/>
    <w:rsid w:val="00B835F5"/>
    <w:rsid w:val="00B867E5"/>
    <w:rsid w:val="00B87928"/>
    <w:rsid w:val="00B92BFF"/>
    <w:rsid w:val="00BC26E8"/>
    <w:rsid w:val="00BD5B4A"/>
    <w:rsid w:val="00BE3F8B"/>
    <w:rsid w:val="00BE478A"/>
    <w:rsid w:val="00BE7B18"/>
    <w:rsid w:val="00BF7255"/>
    <w:rsid w:val="00BF7819"/>
    <w:rsid w:val="00C007B0"/>
    <w:rsid w:val="00C10657"/>
    <w:rsid w:val="00C12C61"/>
    <w:rsid w:val="00C24F02"/>
    <w:rsid w:val="00C25142"/>
    <w:rsid w:val="00C31AD1"/>
    <w:rsid w:val="00C42565"/>
    <w:rsid w:val="00C5261D"/>
    <w:rsid w:val="00C5510B"/>
    <w:rsid w:val="00C57D86"/>
    <w:rsid w:val="00C71709"/>
    <w:rsid w:val="00C733AF"/>
    <w:rsid w:val="00C7340C"/>
    <w:rsid w:val="00C75DBB"/>
    <w:rsid w:val="00C769A1"/>
    <w:rsid w:val="00C80C82"/>
    <w:rsid w:val="00C81C53"/>
    <w:rsid w:val="00C932CF"/>
    <w:rsid w:val="00CA1B8E"/>
    <w:rsid w:val="00CA2E08"/>
    <w:rsid w:val="00CC7110"/>
    <w:rsid w:val="00CD5EB7"/>
    <w:rsid w:val="00CD770D"/>
    <w:rsid w:val="00CE5297"/>
    <w:rsid w:val="00CF36EE"/>
    <w:rsid w:val="00CF39A0"/>
    <w:rsid w:val="00D17350"/>
    <w:rsid w:val="00D23BC4"/>
    <w:rsid w:val="00D3154F"/>
    <w:rsid w:val="00D40CA0"/>
    <w:rsid w:val="00D42C57"/>
    <w:rsid w:val="00D55A0A"/>
    <w:rsid w:val="00D72D15"/>
    <w:rsid w:val="00D73998"/>
    <w:rsid w:val="00D75A46"/>
    <w:rsid w:val="00D772F4"/>
    <w:rsid w:val="00D81C5C"/>
    <w:rsid w:val="00D91111"/>
    <w:rsid w:val="00D93C09"/>
    <w:rsid w:val="00D965C7"/>
    <w:rsid w:val="00DB1DF9"/>
    <w:rsid w:val="00DB325B"/>
    <w:rsid w:val="00DC05C5"/>
    <w:rsid w:val="00DC22C0"/>
    <w:rsid w:val="00DD1ECB"/>
    <w:rsid w:val="00DD38C5"/>
    <w:rsid w:val="00DD43D4"/>
    <w:rsid w:val="00DD730F"/>
    <w:rsid w:val="00DE3977"/>
    <w:rsid w:val="00DE3D4C"/>
    <w:rsid w:val="00DE5DED"/>
    <w:rsid w:val="00E02D69"/>
    <w:rsid w:val="00E065FC"/>
    <w:rsid w:val="00E406C7"/>
    <w:rsid w:val="00E53893"/>
    <w:rsid w:val="00E54F4A"/>
    <w:rsid w:val="00E55E99"/>
    <w:rsid w:val="00E56674"/>
    <w:rsid w:val="00E60C99"/>
    <w:rsid w:val="00E616E6"/>
    <w:rsid w:val="00E731D5"/>
    <w:rsid w:val="00E913B2"/>
    <w:rsid w:val="00E93DB4"/>
    <w:rsid w:val="00EB22CD"/>
    <w:rsid w:val="00EC4882"/>
    <w:rsid w:val="00ED65EE"/>
    <w:rsid w:val="00ED6B9F"/>
    <w:rsid w:val="00EE6392"/>
    <w:rsid w:val="00EF3C58"/>
    <w:rsid w:val="00F038D8"/>
    <w:rsid w:val="00F120B3"/>
    <w:rsid w:val="00F139BB"/>
    <w:rsid w:val="00F267DC"/>
    <w:rsid w:val="00F53F97"/>
    <w:rsid w:val="00F56F91"/>
    <w:rsid w:val="00F60089"/>
    <w:rsid w:val="00F82AC3"/>
    <w:rsid w:val="00F907E6"/>
    <w:rsid w:val="00F930FB"/>
    <w:rsid w:val="00FC1A0D"/>
    <w:rsid w:val="00FC3DE7"/>
    <w:rsid w:val="00FE0252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62F6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6B62F6"/>
    <w:rPr>
      <w:lang w:eastAsia="en-US"/>
    </w:rPr>
  </w:style>
  <w:style w:type="character" w:styleId="a5">
    <w:name w:val="endnote reference"/>
    <w:uiPriority w:val="99"/>
    <w:semiHidden/>
    <w:unhideWhenUsed/>
    <w:rsid w:val="006B62F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B62F6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6B62F6"/>
    <w:rPr>
      <w:lang w:eastAsia="en-US"/>
    </w:rPr>
  </w:style>
  <w:style w:type="character" w:styleId="a8">
    <w:name w:val="footnote reference"/>
    <w:uiPriority w:val="99"/>
    <w:semiHidden/>
    <w:unhideWhenUsed/>
    <w:rsid w:val="006B62F6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F8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93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663B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3B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3B6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B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B61"/>
    <w:rPr>
      <w:b/>
      <w:bCs/>
      <w:lang w:eastAsia="en-US"/>
    </w:rPr>
  </w:style>
  <w:style w:type="paragraph" w:styleId="af1">
    <w:name w:val="header"/>
    <w:basedOn w:val="a"/>
    <w:link w:val="af2"/>
    <w:uiPriority w:val="99"/>
    <w:unhideWhenUsed/>
    <w:rsid w:val="006B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B6C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6B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B6C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62F6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6B62F6"/>
    <w:rPr>
      <w:lang w:eastAsia="en-US"/>
    </w:rPr>
  </w:style>
  <w:style w:type="character" w:styleId="a5">
    <w:name w:val="endnote reference"/>
    <w:uiPriority w:val="99"/>
    <w:semiHidden/>
    <w:unhideWhenUsed/>
    <w:rsid w:val="006B62F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B62F6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6B62F6"/>
    <w:rPr>
      <w:lang w:eastAsia="en-US"/>
    </w:rPr>
  </w:style>
  <w:style w:type="character" w:styleId="a8">
    <w:name w:val="footnote reference"/>
    <w:uiPriority w:val="99"/>
    <w:semiHidden/>
    <w:unhideWhenUsed/>
    <w:rsid w:val="006B62F6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F8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93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663B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3B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3B6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B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B61"/>
    <w:rPr>
      <w:b/>
      <w:bCs/>
      <w:lang w:eastAsia="en-US"/>
    </w:rPr>
  </w:style>
  <w:style w:type="paragraph" w:styleId="af1">
    <w:name w:val="header"/>
    <w:basedOn w:val="a"/>
    <w:link w:val="af2"/>
    <w:uiPriority w:val="99"/>
    <w:unhideWhenUsed/>
    <w:rsid w:val="006B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B6C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6B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B6C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hmelev\Desktop\&#1056;&#1072;&#1073;&#1086;&#1095;&#1072;&#1103;\&#1057;&#1087;&#1077;&#1094;&#1079;&#1072;&#1076;&#1072;&#1085;&#1080;&#1103;\&#1044;&#1080;&#1085;&#1072;&#1084;&#1080;&#1082;&#1072;%20&#1076;&#1086;&#1093;&#1086;&#1076;&#1085;&#1086;&#1089;&#1090;&#1080;%20&#1053;&#1055;&#1060;\&#1043;&#1088;&#1072;&#1092;&#1080;&#1082;&#1080;1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hmelev\Desktop\&#1056;&#1072;&#1073;&#1086;&#1095;&#1072;&#1103;\&#1057;&#1087;&#1077;&#1094;&#1079;&#1072;&#1076;&#1072;&#1085;&#1080;&#1103;\&#1044;&#1080;&#1085;&#1072;&#1084;&#1080;&#1082;&#1072;%20&#1076;&#1086;&#1093;&#1086;&#1076;&#1085;&#1086;&#1089;&#1090;&#1080;%20&#1053;&#1055;&#1060;\&#1043;&#1088;&#1072;&#1092;&#1080;&#1082;&#1080;11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hmelev\Desktop\&#1056;&#1072;&#1073;&#1086;&#1095;&#1072;&#1103;\&#1052;&#1080;&#1088;&#1086;&#1074;&#1099;&#1077;%20&#1090;&#1077;&#1085;&#1076;&#1077;&#1085;&#1094;&#1080;&#1080;%20&#1080;&#1085;&#1074;&#1077;&#1089;&#1090;&#1080;&#1088;&#1086;&#1074;&#1072;&#1085;&#1080;&#1103;\&#1044;&#1086;&#1088;&#1072;&#1073;&#1086;&#1090;&#1082;&#1072;\&#1056;&#1072;&#1089;&#1087;&#1088;&#1077;&#1076;&#1077;&#1083;&#1077;&#1085;&#1080;&#1077;%20&#1089;&#1090;&#1088;&#1072;&#1085;%20&#1087;&#1086;%20&#1090;&#1080;&#1087;&#1072;&#1084;%20&#1087;&#1077;&#1085;&#1089;&#1080;&#1086;&#1085;&#1085;&#1099;&#1093;%20&#1089;&#1093;&#1077;&#1084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hmelev\Desktop\&#1056;&#1072;&#1073;&#1086;&#1095;&#1072;&#1103;\&#1057;&#1087;&#1077;&#1094;&#1079;&#1072;&#1076;&#1072;&#1085;&#1080;&#1103;\&#1057;&#1090;&#1072;&#1090;&#1100;&#1103;%20&#1074;%20&#1078;&#1091;&#1088;&#1085;&#1072;&#1083;\Millimans%20report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hmelev\Desktop\&#1056;&#1072;&#1073;&#1086;&#1095;&#1072;&#1103;\&#1057;&#1087;&#1077;&#1094;&#1079;&#1072;&#1076;&#1072;&#1085;&#1080;&#1103;\&#1057;&#1090;&#1072;&#1090;&#1100;&#1103;%20&#1074;%20&#1078;&#1091;&#1088;&#1085;&#1072;&#1083;\Millimans%20report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hmelev\Desktop\&#1056;&#1072;&#1073;&#1086;&#1095;&#1072;&#1103;\&#1052;&#1080;&#1088;&#1086;&#1074;&#1099;&#1077;%20&#1090;&#1077;&#1085;&#1076;&#1077;&#1085;&#1094;&#1080;&#1080;%20&#1080;&#1085;&#1074;&#1077;&#1089;&#1090;&#1080;&#1088;&#1086;&#1074;&#1072;&#1085;&#1080;&#1103;\&#1050;&#1086;&#1087;&#1080;&#1103;%20&#1043;&#1088;&#1072;&#1092;&#1080;&#1082;&#1080;%20&#1087;&#1086;%20&#1088;&#1077;&#1075;&#1080;&#1086;&#1085;&#1072;&#1084;111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hmelev\Desktop\&#1056;&#1072;&#1073;&#1086;&#1095;&#1072;&#1103;\&#1052;&#1080;&#1088;&#1086;&#1074;&#1099;&#1077;%20&#1090;&#1077;&#1085;&#1076;&#1077;&#1085;&#1094;&#1080;&#1080;%20&#1080;&#1085;&#1074;&#1077;&#1089;&#1090;&#1080;&#1088;&#1086;&#1074;&#1072;&#1085;&#1080;&#1103;\&#1043;&#1088;&#1072;&#1092;&#1080;&#1082;&#1080;%20&#1087;&#1086;%20&#1088;&#1077;&#1075;&#1080;&#1086;&#1085;&#1072;&#1084;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hmelev\Desktop\&#1056;&#1072;&#1073;&#1086;&#1095;&#1072;&#1103;\&#1057;&#1087;&#1077;&#1094;&#1079;&#1072;&#1076;&#1072;&#1085;&#1080;&#1103;\&#1057;&#1090;&#1072;&#1090;&#1100;&#1103;%20&#1074;%20&#1078;&#1091;&#1088;&#1085;&#1072;&#1083;\Millimans%20report.xls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006C4E"/>
              </a:solidFill>
            </a:ln>
          </c:spPr>
          <c:marker>
            <c:symbol val="none"/>
          </c:marker>
          <c:trendline>
            <c:spPr>
              <a:ln w="25400"/>
            </c:spPr>
            <c:trendlineType val="linear"/>
            <c:dispRSqr val="0"/>
            <c:dispEq val="0"/>
          </c:trendline>
          <c:cat>
            <c:numRef>
              <c:f>OECD!$A$37:$A$64</c:f>
              <c:numCache>
                <c:formatCode>General</c:formatCode>
                <c:ptCount val="28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  <c:pt idx="27">
                  <c:v>2013</c:v>
                </c:pt>
              </c:numCache>
            </c:numRef>
          </c:cat>
          <c:val>
            <c:numRef>
              <c:f>OECD!$B$37:$B$64</c:f>
              <c:numCache>
                <c:formatCode>0.00%</c:formatCode>
                <c:ptCount val="28"/>
                <c:pt idx="0">
                  <c:v>7.4999999999999997E-2</c:v>
                </c:pt>
                <c:pt idx="1">
                  <c:v>0.02</c:v>
                </c:pt>
                <c:pt idx="2">
                  <c:v>0.115</c:v>
                </c:pt>
                <c:pt idx="3">
                  <c:v>0.05</c:v>
                </c:pt>
                <c:pt idx="4">
                  <c:v>-0.03</c:v>
                </c:pt>
                <c:pt idx="5">
                  <c:v>0.08</c:v>
                </c:pt>
                <c:pt idx="6">
                  <c:v>7.0000000000000007E-2</c:v>
                </c:pt>
                <c:pt idx="7">
                  <c:v>0.18</c:v>
                </c:pt>
                <c:pt idx="8">
                  <c:v>-5.5E-2</c:v>
                </c:pt>
                <c:pt idx="9">
                  <c:v>0.12</c:v>
                </c:pt>
                <c:pt idx="10">
                  <c:v>0.125</c:v>
                </c:pt>
                <c:pt idx="11">
                  <c:v>0.13</c:v>
                </c:pt>
                <c:pt idx="12">
                  <c:v>0.10199999999999999</c:v>
                </c:pt>
                <c:pt idx="13">
                  <c:v>0.14000000000000001</c:v>
                </c:pt>
                <c:pt idx="14">
                  <c:v>1E-3</c:v>
                </c:pt>
                <c:pt idx="15">
                  <c:v>-7.4999999999999997E-2</c:v>
                </c:pt>
                <c:pt idx="16">
                  <c:v>-0.12</c:v>
                </c:pt>
                <c:pt idx="17">
                  <c:v>0.08</c:v>
                </c:pt>
                <c:pt idx="18">
                  <c:v>8.1000000000000003E-2</c:v>
                </c:pt>
                <c:pt idx="19">
                  <c:v>0.13</c:v>
                </c:pt>
                <c:pt idx="20">
                  <c:v>6.1386138613861337E-2</c:v>
                </c:pt>
                <c:pt idx="21">
                  <c:v>8.1476391479336028E-3</c:v>
                </c:pt>
                <c:pt idx="22">
                  <c:v>-0.17108102805571904</c:v>
                </c:pt>
                <c:pt idx="23">
                  <c:v>0.15122144199386811</c:v>
                </c:pt>
                <c:pt idx="24">
                  <c:v>5.660747571863041E-2</c:v>
                </c:pt>
                <c:pt idx="25">
                  <c:v>-8.5954287946864837E-3</c:v>
                </c:pt>
                <c:pt idx="26">
                  <c:v>7.3858114674441144E-2</c:v>
                </c:pt>
                <c:pt idx="27">
                  <c:v>3.0481809242871093E-2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740480"/>
        <c:axId val="140742016"/>
      </c:lineChart>
      <c:catAx>
        <c:axId val="14074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742016"/>
        <c:crosses val="autoZero"/>
        <c:auto val="1"/>
        <c:lblAlgn val="ctr"/>
        <c:lblOffset val="100"/>
        <c:noMultiLvlLbl val="0"/>
      </c:catAx>
      <c:valAx>
        <c:axId val="14074201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740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Тренд доходности ПФ США (DB) в 1986-2014 гг.</c:v>
          </c:tx>
          <c:spPr>
            <a:ln>
              <a:solidFill>
                <a:srgbClr val="006C4E"/>
              </a:solidFill>
            </a:ln>
          </c:spPr>
          <c:marker>
            <c:symbol val="none"/>
          </c:marker>
          <c:dPt>
            <c:idx val="17"/>
            <c:bubble3D val="0"/>
            <c:spPr>
              <a:ln>
                <a:solidFill>
                  <a:srgbClr val="006C4E"/>
                </a:solidFill>
              </a:ln>
            </c:spPr>
          </c:dPt>
          <c:dPt>
            <c:idx val="23"/>
            <c:bubble3D val="0"/>
            <c:spPr>
              <a:ln>
                <a:solidFill>
                  <a:srgbClr val="006C4E"/>
                </a:solidFill>
              </a:ln>
            </c:spPr>
          </c:dPt>
          <c:dPt>
            <c:idx val="24"/>
            <c:bubble3D val="0"/>
          </c:dPt>
          <c:dPt>
            <c:idx val="25"/>
            <c:bubble3D val="0"/>
            <c:spPr>
              <a:ln>
                <a:solidFill>
                  <a:srgbClr val="006C4E"/>
                </a:solidFill>
              </a:ln>
            </c:spPr>
          </c:dPt>
          <c:dPt>
            <c:idx val="27"/>
            <c:bubble3D val="0"/>
            <c:spPr>
              <a:ln>
                <a:solidFill>
                  <a:srgbClr val="FF9900"/>
                </a:solidFill>
                <a:prstDash val="sysDot"/>
              </a:ln>
            </c:spPr>
          </c:dPt>
          <c:dPt>
            <c:idx val="28"/>
            <c:bubble3D val="0"/>
            <c:spPr>
              <a:ln>
                <a:solidFill>
                  <a:srgbClr val="FF9900"/>
                </a:solidFill>
                <a:prstDash val="sysDot"/>
              </a:ln>
            </c:spPr>
          </c:dPt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OECD!$A$37:$A$65</c:f>
              <c:numCache>
                <c:formatCode>General</c:formatCode>
                <c:ptCount val="29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  <c:pt idx="27">
                  <c:v>2013</c:v>
                </c:pt>
                <c:pt idx="28">
                  <c:v>2014</c:v>
                </c:pt>
              </c:numCache>
            </c:numRef>
          </c:cat>
          <c:val>
            <c:numRef>
              <c:f>OECD!$C$37:$C$65</c:f>
              <c:numCache>
                <c:formatCode>0.00%</c:formatCode>
                <c:ptCount val="29"/>
                <c:pt idx="0">
                  <c:v>0.11972522080471037</c:v>
                </c:pt>
                <c:pt idx="1">
                  <c:v>7.7220077220079286E-3</c:v>
                </c:pt>
                <c:pt idx="2">
                  <c:v>7.6849183477425642E-2</c:v>
                </c:pt>
                <c:pt idx="3">
                  <c:v>6.9656488549618256E-2</c:v>
                </c:pt>
                <c:pt idx="4">
                  <c:v>-1.8026565464895672E-2</c:v>
                </c:pt>
                <c:pt idx="5">
                  <c:v>0.1401151631477926</c:v>
                </c:pt>
                <c:pt idx="6">
                  <c:v>5.1456310679611539E-2</c:v>
                </c:pt>
                <c:pt idx="7">
                  <c:v>7.2815533980582492E-2</c:v>
                </c:pt>
                <c:pt idx="8">
                  <c:v>-3.8986354775827348E-3</c:v>
                </c:pt>
                <c:pt idx="9">
                  <c:v>0.18093385214007784</c:v>
                </c:pt>
                <c:pt idx="10">
                  <c:v>0.11456310679611657</c:v>
                </c:pt>
                <c:pt idx="11">
                  <c:v>0.14173998044965797</c:v>
                </c:pt>
                <c:pt idx="12">
                  <c:v>0.12401574803149608</c:v>
                </c:pt>
                <c:pt idx="13">
                  <c:v>0.11350293542074352</c:v>
                </c:pt>
                <c:pt idx="14">
                  <c:v>-3.6750483558994351E-2</c:v>
                </c:pt>
                <c:pt idx="15">
                  <c:v>-6.9066147859922156E-2</c:v>
                </c:pt>
                <c:pt idx="16">
                  <c:v>-9.3503937007874072E-2</c:v>
                </c:pt>
                <c:pt idx="17">
                  <c:v>0.15835777126099715</c:v>
                </c:pt>
                <c:pt idx="18">
                  <c:v>8.7633885102239586E-2</c:v>
                </c:pt>
                <c:pt idx="19">
                  <c:v>5.0290135396518165E-2</c:v>
                </c:pt>
                <c:pt idx="20">
                  <c:v>9.011627906976738E-2</c:v>
                </c:pt>
                <c:pt idx="21">
                  <c:v>6.5175097276264582E-2</c:v>
                </c:pt>
                <c:pt idx="22">
                  <c:v>-0.22061657032755289</c:v>
                </c:pt>
                <c:pt idx="23">
                  <c:v>0.12650602409638556</c:v>
                </c:pt>
                <c:pt idx="24">
                  <c:v>0.1141732283464567</c:v>
                </c:pt>
                <c:pt idx="25">
                  <c:v>2.1317829457364379E-2</c:v>
                </c:pt>
                <c:pt idx="26">
                  <c:v>9.2066601371204815E-2</c:v>
                </c:pt>
                <c:pt idx="27">
                  <c:v>0.13589999999999999</c:v>
                </c:pt>
                <c:pt idx="28">
                  <c:v>5.96E-2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458240"/>
        <c:axId val="116459776"/>
      </c:lineChart>
      <c:catAx>
        <c:axId val="11645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/>
          <a:lstStyle/>
          <a:p>
            <a:pPr>
              <a:defRPr>
                <a:latin typeface="Calibri" panose="020F0502020204030204" pitchFamily="34" charset="0"/>
              </a:defRPr>
            </a:pPr>
            <a:endParaRPr lang="ru-RU"/>
          </a:p>
        </c:txPr>
        <c:crossAx val="116459776"/>
        <c:crosses val="autoZero"/>
        <c:auto val="1"/>
        <c:lblAlgn val="ctr"/>
        <c:lblOffset val="100"/>
        <c:noMultiLvlLbl val="0"/>
      </c:catAx>
      <c:valAx>
        <c:axId val="11645977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 b="0">
                    <a:latin typeface="Calibri" panose="020F0502020204030204" pitchFamily="34" charset="0"/>
                  </a:defRPr>
                </a:pPr>
                <a:r>
                  <a:rPr lang="ru-RU" sz="800" b="0">
                    <a:latin typeface="Calibri" panose="020F0502020204030204" pitchFamily="34" charset="0"/>
                  </a:rPr>
                  <a:t>Доходность годовая,%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Calibri" panose="020F0502020204030204" pitchFamily="34" charset="0"/>
              </a:defRPr>
            </a:pPr>
            <a:endParaRPr lang="ru-RU"/>
          </a:p>
        </c:txPr>
        <c:crossAx val="116458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Чили</c:v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circle"/>
            <c:size val="7"/>
            <c:spPr>
              <a:solidFill>
                <a:schemeClr val="bg1"/>
              </a:solidFill>
              <a:ln w="25400" cap="rnd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numRef>
              <c:f>Лист2!$T$2:$AN$2</c:f>
              <c:numCache>
                <c:formatCode>General</c:formatCode>
                <c:ptCount val="2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  <c:pt idx="18">
                  <c:v>2031</c:v>
                </c:pt>
                <c:pt idx="19">
                  <c:v>2032</c:v>
                </c:pt>
                <c:pt idx="20">
                  <c:v>2033</c:v>
                </c:pt>
              </c:numCache>
            </c:numRef>
          </c:cat>
          <c:val>
            <c:numRef>
              <c:f>Лист2!$T$7:$AN$7</c:f>
              <c:numCache>
                <c:formatCode>0.00</c:formatCode>
                <c:ptCount val="21"/>
                <c:pt idx="0">
                  <c:v>3.5229978882676076</c:v>
                </c:pt>
                <c:pt idx="1">
                  <c:v>3.3907863262518441</c:v>
                </c:pt>
                <c:pt idx="2">
                  <c:v>3.2759286236317204</c:v>
                </c:pt>
                <c:pt idx="3">
                  <c:v>3.1786512950468264</c:v>
                </c:pt>
                <c:pt idx="4">
                  <c:v>3.0949445367938737</c:v>
                </c:pt>
                <c:pt idx="5">
                  <c:v>3.0204233361441033</c:v>
                </c:pt>
                <c:pt idx="6">
                  <c:v>2.9496975751673054</c:v>
                </c:pt>
                <c:pt idx="7">
                  <c:v>2.8792696026406297</c:v>
                </c:pt>
                <c:pt idx="8">
                  <c:v>2.8091298210724225</c:v>
                </c:pt>
                <c:pt idx="9">
                  <c:v>2.7402855687157235</c:v>
                </c:pt>
                <c:pt idx="10">
                  <c:v>2.671972856915191</c:v>
                </c:pt>
                <c:pt idx="11">
                  <c:v>2.6034800087052354</c:v>
                </c:pt>
                <c:pt idx="12">
                  <c:v>2.5345272060188755</c:v>
                </c:pt>
                <c:pt idx="13">
                  <c:v>2.4650595567743032</c:v>
                </c:pt>
                <c:pt idx="14">
                  <c:v>2.3957328482939828</c:v>
                </c:pt>
                <c:pt idx="15">
                  <c:v>2.3278304908294802</c:v>
                </c:pt>
                <c:pt idx="16">
                  <c:v>2.2629000653167863</c:v>
                </c:pt>
                <c:pt idx="17">
                  <c:v>2.2020265034344146</c:v>
                </c:pt>
                <c:pt idx="18">
                  <c:v>2.1453683474088328</c:v>
                </c:pt>
                <c:pt idx="19">
                  <c:v>2.0928652126135843</c:v>
                </c:pt>
                <c:pt idx="20">
                  <c:v>2.0449922855034548</c:v>
                </c:pt>
              </c:numCache>
            </c:numRef>
          </c:val>
          <c:smooth val="0"/>
        </c:ser>
        <c:ser>
          <c:idx val="1"/>
          <c:order val="1"/>
          <c:tx>
            <c:v>Швеция</c:v>
          </c:tx>
          <c:spPr>
            <a:ln>
              <a:solidFill>
                <a:srgbClr val="A3C9AC"/>
              </a:solidFill>
            </a:ln>
          </c:spPr>
          <c:marker>
            <c:symbol val="circle"/>
            <c:size val="7"/>
            <c:spPr>
              <a:solidFill>
                <a:schemeClr val="bg1"/>
              </a:solidFill>
              <a:ln w="25400">
                <a:solidFill>
                  <a:srgbClr val="A3C9AC"/>
                </a:solidFill>
              </a:ln>
            </c:spPr>
          </c:marker>
          <c:cat>
            <c:numRef>
              <c:f>Лист2!$T$2:$AN$2</c:f>
              <c:numCache>
                <c:formatCode>General</c:formatCode>
                <c:ptCount val="2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  <c:pt idx="18">
                  <c:v>2031</c:v>
                </c:pt>
                <c:pt idx="19">
                  <c:v>2032</c:v>
                </c:pt>
                <c:pt idx="20">
                  <c:v>2033</c:v>
                </c:pt>
              </c:numCache>
            </c:numRef>
          </c:cat>
          <c:val>
            <c:numRef>
              <c:f>Лист2!$T$10:$AN$10</c:f>
              <c:numCache>
                <c:formatCode>0.00</c:formatCode>
                <c:ptCount val="21"/>
                <c:pt idx="0">
                  <c:v>4.2753015505461871</c:v>
                </c:pt>
                <c:pt idx="1">
                  <c:v>4.1583768883259333</c:v>
                </c:pt>
                <c:pt idx="2">
                  <c:v>4.0425063906003631</c:v>
                </c:pt>
                <c:pt idx="3">
                  <c:v>3.9292813079801423</c:v>
                </c:pt>
                <c:pt idx="4">
                  <c:v>3.8186883493613308</c:v>
                </c:pt>
                <c:pt idx="5">
                  <c:v>3.7102418039392302</c:v>
                </c:pt>
                <c:pt idx="6">
                  <c:v>3.6030805952013045</c:v>
                </c:pt>
                <c:pt idx="7">
                  <c:v>3.4970960725423126</c:v>
                </c:pt>
                <c:pt idx="8">
                  <c:v>3.3929223920415699</c:v>
                </c:pt>
                <c:pt idx="9">
                  <c:v>3.2919489355647737</c:v>
                </c:pt>
                <c:pt idx="10">
                  <c:v>3.1956857780025705</c:v>
                </c:pt>
                <c:pt idx="11">
                  <c:v>3.10570235721198</c:v>
                </c:pt>
                <c:pt idx="12">
                  <c:v>3.0229558980970364</c:v>
                </c:pt>
                <c:pt idx="13">
                  <c:v>2.9472300694105638</c:v>
                </c:pt>
                <c:pt idx="14">
                  <c:v>2.8782671713360601</c:v>
                </c:pt>
                <c:pt idx="15">
                  <c:v>2.8166288186047064</c:v>
                </c:pt>
                <c:pt idx="16">
                  <c:v>2.762931731246042</c:v>
                </c:pt>
                <c:pt idx="17">
                  <c:v>2.7173594049177838</c:v>
                </c:pt>
                <c:pt idx="18">
                  <c:v>2.6797207038002435</c:v>
                </c:pt>
                <c:pt idx="19">
                  <c:v>2.6492911695720291</c:v>
                </c:pt>
                <c:pt idx="20">
                  <c:v>2.6250438021141798</c:v>
                </c:pt>
              </c:numCache>
            </c:numRef>
          </c:val>
          <c:smooth val="0"/>
        </c:ser>
        <c:ser>
          <c:idx val="2"/>
          <c:order val="2"/>
          <c:tx>
            <c:v>Великобритания</c:v>
          </c:tx>
          <c:spPr>
            <a:ln>
              <a:solidFill>
                <a:srgbClr val="FF9900"/>
              </a:solidFill>
            </a:ln>
          </c:spPr>
          <c:marker>
            <c:symbol val="circle"/>
            <c:size val="7"/>
            <c:spPr>
              <a:solidFill>
                <a:schemeClr val="bg1"/>
              </a:solidFill>
              <a:ln w="25400" cap="rnd">
                <a:solidFill>
                  <a:srgbClr val="FF9900"/>
                </a:solidFill>
              </a:ln>
            </c:spPr>
          </c:marker>
          <c:cat>
            <c:numRef>
              <c:f>Лист2!$T$2:$AN$2</c:f>
              <c:numCache>
                <c:formatCode>General</c:formatCode>
                <c:ptCount val="2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  <c:pt idx="18">
                  <c:v>2031</c:v>
                </c:pt>
                <c:pt idx="19">
                  <c:v>2032</c:v>
                </c:pt>
                <c:pt idx="20">
                  <c:v>2033</c:v>
                </c:pt>
              </c:numCache>
            </c:numRef>
          </c:cat>
          <c:val>
            <c:numRef>
              <c:f>Лист2!$T$11:$AN$11</c:f>
              <c:numCache>
                <c:formatCode>0.00</c:formatCode>
                <c:ptCount val="21"/>
                <c:pt idx="0">
                  <c:v>3.3749523235032615</c:v>
                </c:pt>
                <c:pt idx="1">
                  <c:v>3.3022772364013577</c:v>
                </c:pt>
                <c:pt idx="2">
                  <c:v>3.2419193335584295</c:v>
                </c:pt>
                <c:pt idx="3">
                  <c:v>3.1951021822025432</c:v>
                </c:pt>
                <c:pt idx="4">
                  <c:v>3.1585616757252972</c:v>
                </c:pt>
                <c:pt idx="5">
                  <c:v>3.1276427893665795</c:v>
                </c:pt>
                <c:pt idx="6">
                  <c:v>3.0960685897949931</c:v>
                </c:pt>
                <c:pt idx="7">
                  <c:v>3.0595806052991601</c:v>
                </c:pt>
                <c:pt idx="8">
                  <c:v>3.0177501873485557</c:v>
                </c:pt>
                <c:pt idx="9">
                  <c:v>2.9721155489956521</c:v>
                </c:pt>
                <c:pt idx="10">
                  <c:v>2.9230693958952245</c:v>
                </c:pt>
                <c:pt idx="11">
                  <c:v>2.8714657775102252</c:v>
                </c:pt>
                <c:pt idx="12">
                  <c:v>2.8181535486455873</c:v>
                </c:pt>
                <c:pt idx="13">
                  <c:v>2.7635557140521021</c:v>
                </c:pt>
                <c:pt idx="14">
                  <c:v>2.7081384292628856</c:v>
                </c:pt>
                <c:pt idx="15">
                  <c:v>2.6528459649181153</c:v>
                </c:pt>
                <c:pt idx="16">
                  <c:v>2.5986449284358346</c:v>
                </c:pt>
                <c:pt idx="17">
                  <c:v>2.546317689596068</c:v>
                </c:pt>
                <c:pt idx="18">
                  <c:v>2.4959183051833396</c:v>
                </c:pt>
                <c:pt idx="19">
                  <c:v>2.4478401622285295</c:v>
                </c:pt>
                <c:pt idx="20">
                  <c:v>2.403393535559549</c:v>
                </c:pt>
              </c:numCache>
            </c:numRef>
          </c:val>
          <c:smooth val="0"/>
        </c:ser>
        <c:ser>
          <c:idx val="3"/>
          <c:order val="3"/>
          <c:tx>
            <c:v>США</c:v>
          </c:tx>
          <c:spPr>
            <a:ln>
              <a:solidFill>
                <a:srgbClr val="F8F200"/>
              </a:solidFill>
            </a:ln>
          </c:spPr>
          <c:marker>
            <c:symbol val="circle"/>
            <c:size val="7"/>
            <c:spPr>
              <a:solidFill>
                <a:schemeClr val="bg1"/>
              </a:solidFill>
              <a:ln w="25400" cap="rnd">
                <a:solidFill>
                  <a:srgbClr val="F8F200"/>
                </a:solidFill>
              </a:ln>
            </c:spPr>
          </c:marker>
          <c:cat>
            <c:numRef>
              <c:f>Лист2!$T$2:$AN$2</c:f>
              <c:numCache>
                <c:formatCode>General</c:formatCode>
                <c:ptCount val="2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  <c:pt idx="18">
                  <c:v>2031</c:v>
                </c:pt>
                <c:pt idx="19">
                  <c:v>2032</c:v>
                </c:pt>
                <c:pt idx="20">
                  <c:v>2033</c:v>
                </c:pt>
              </c:numCache>
            </c:numRef>
          </c:cat>
          <c:val>
            <c:numRef>
              <c:f>Лист2!$T$12:$AN$12</c:f>
              <c:numCache>
                <c:formatCode>0.00</c:formatCode>
                <c:ptCount val="21"/>
                <c:pt idx="0">
                  <c:v>3.0004796108547955</c:v>
                </c:pt>
                <c:pt idx="1">
                  <c:v>2.9343068815929985</c:v>
                </c:pt>
                <c:pt idx="2">
                  <c:v>2.8773705929661122</c:v>
                </c:pt>
                <c:pt idx="3">
                  <c:v>2.8303074727799458</c:v>
                </c:pt>
                <c:pt idx="4">
                  <c:v>2.7912958991255596</c:v>
                </c:pt>
                <c:pt idx="5">
                  <c:v>2.758123075146004</c:v>
                </c:pt>
                <c:pt idx="6">
                  <c:v>2.7278179229865498</c:v>
                </c:pt>
                <c:pt idx="7">
                  <c:v>2.6983530042039683</c:v>
                </c:pt>
                <c:pt idx="8">
                  <c:v>2.6694545220972197</c:v>
                </c:pt>
                <c:pt idx="9">
                  <c:v>2.6416946360363891</c:v>
                </c:pt>
                <c:pt idx="10">
                  <c:v>2.6149939887254381</c:v>
                </c:pt>
                <c:pt idx="11">
                  <c:v>2.5894036882438201</c:v>
                </c:pt>
                <c:pt idx="12">
                  <c:v>2.5648902778752132</c:v>
                </c:pt>
                <c:pt idx="13">
                  <c:v>2.5415658874664802</c:v>
                </c:pt>
                <c:pt idx="14">
                  <c:v>2.5192205180205742</c:v>
                </c:pt>
                <c:pt idx="15">
                  <c:v>2.4972099599478419</c:v>
                </c:pt>
                <c:pt idx="16">
                  <c:v>2.4747437058535109</c:v>
                </c:pt>
                <c:pt idx="17">
                  <c:v>2.451434024411153</c:v>
                </c:pt>
                <c:pt idx="18">
                  <c:v>2.4270796845245144</c:v>
                </c:pt>
                <c:pt idx="19">
                  <c:v>2.4022667211732287</c:v>
                </c:pt>
                <c:pt idx="20">
                  <c:v>2.3783068923859649</c:v>
                </c:pt>
              </c:numCache>
            </c:numRef>
          </c:val>
          <c:smooth val="0"/>
        </c:ser>
        <c:ser>
          <c:idx val="4"/>
          <c:order val="4"/>
          <c:tx>
            <c:v>Нидерланды</c:v>
          </c:tx>
          <c:spPr>
            <a:ln>
              <a:solidFill>
                <a:srgbClr val="006C4E"/>
              </a:solidFill>
            </a:ln>
          </c:spPr>
          <c:marker>
            <c:symbol val="circle"/>
            <c:size val="7"/>
            <c:spPr>
              <a:solidFill>
                <a:schemeClr val="bg1"/>
              </a:solidFill>
              <a:ln w="25400">
                <a:solidFill>
                  <a:srgbClr val="006C4E"/>
                </a:solidFill>
              </a:ln>
            </c:spPr>
          </c:marker>
          <c:cat>
            <c:numRef>
              <c:f>Лист2!$T$2:$AN$2</c:f>
              <c:numCache>
                <c:formatCode>General</c:formatCode>
                <c:ptCount val="2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  <c:pt idx="13">
                  <c:v>2026</c:v>
                </c:pt>
                <c:pt idx="14">
                  <c:v>2027</c:v>
                </c:pt>
                <c:pt idx="15">
                  <c:v>2028</c:v>
                </c:pt>
                <c:pt idx="16">
                  <c:v>2029</c:v>
                </c:pt>
                <c:pt idx="17">
                  <c:v>2030</c:v>
                </c:pt>
                <c:pt idx="18">
                  <c:v>2031</c:v>
                </c:pt>
                <c:pt idx="19">
                  <c:v>2032</c:v>
                </c:pt>
                <c:pt idx="20">
                  <c:v>2033</c:v>
                </c:pt>
              </c:numCache>
            </c:numRef>
          </c:cat>
          <c:val>
            <c:numRef>
              <c:f>Лист2!$T$16:$AN$16</c:f>
              <c:numCache>
                <c:formatCode>0.00</c:formatCode>
                <c:ptCount val="21"/>
                <c:pt idx="0">
                  <c:v>6.113084534804015</c:v>
                </c:pt>
                <c:pt idx="1">
                  <c:v>5.967389069826214</c:v>
                </c:pt>
                <c:pt idx="2">
                  <c:v>5.8156270778090127</c:v>
                </c:pt>
                <c:pt idx="3">
                  <c:v>5.6588813189294989</c:v>
                </c:pt>
                <c:pt idx="4">
                  <c:v>5.4977700086985823</c:v>
                </c:pt>
                <c:pt idx="5">
                  <c:v>5.3306977997999905</c:v>
                </c:pt>
                <c:pt idx="6">
                  <c:v>5.15619627344946</c:v>
                </c:pt>
                <c:pt idx="7">
                  <c:v>4.9745939990307697</c:v>
                </c:pt>
                <c:pt idx="8">
                  <c:v>4.7883011292367206</c:v>
                </c:pt>
                <c:pt idx="9">
                  <c:v>4.6005586469588211</c:v>
                </c:pt>
                <c:pt idx="10">
                  <c:v>4.413997940591881</c:v>
                </c:pt>
                <c:pt idx="11">
                  <c:v>4.2311977043758784</c:v>
                </c:pt>
                <c:pt idx="12">
                  <c:v>4.0543260627886069</c:v>
                </c:pt>
                <c:pt idx="13">
                  <c:v>3.8836820869227044</c:v>
                </c:pt>
                <c:pt idx="14">
                  <c:v>3.720586510603145</c:v>
                </c:pt>
                <c:pt idx="15">
                  <c:v>3.568392592583455</c:v>
                </c:pt>
                <c:pt idx="16">
                  <c:v>3.4303344910477405</c:v>
                </c:pt>
                <c:pt idx="17">
                  <c:v>3.3076144215756829</c:v>
                </c:pt>
                <c:pt idx="18">
                  <c:v>3.1997978213575222</c:v>
                </c:pt>
                <c:pt idx="19">
                  <c:v>3.1047427079205709</c:v>
                </c:pt>
                <c:pt idx="20">
                  <c:v>3.0197729359573144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11968"/>
        <c:axId val="107813504"/>
      </c:lineChart>
      <c:catAx>
        <c:axId val="10781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813504"/>
        <c:crosses val="autoZero"/>
        <c:auto val="1"/>
        <c:lblAlgn val="ctr"/>
        <c:lblOffset val="100"/>
        <c:noMultiLvlLbl val="0"/>
      </c:catAx>
      <c:valAx>
        <c:axId val="1078135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Кол-во</a:t>
                </a:r>
                <a:r>
                  <a:rPr lang="ru-RU" b="0" baseline="0"/>
                  <a:t> трудоспособных на   1 пенсионера, чел.</a:t>
                </a:r>
                <a:endParaRPr lang="ru-RU" b="0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0781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Фондирование</c:v>
          </c:tx>
          <c:spPr>
            <a:ln>
              <a:solidFill>
                <a:srgbClr val="FF9900"/>
              </a:solidFill>
            </a:ln>
          </c:spPr>
          <c:marker>
            <c:symbol val="circle"/>
            <c:size val="7"/>
            <c:spPr>
              <a:solidFill>
                <a:schemeClr val="bg1"/>
              </a:solidFill>
              <a:ln w="25400">
                <a:solidFill>
                  <a:srgbClr val="FF9900"/>
                </a:solidFill>
              </a:ln>
            </c:spPr>
          </c:marker>
          <c:cat>
            <c:numRef>
              <c:f>Лист1!$A$18:$A$32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Лист1!$D$18:$D$32</c:f>
              <c:numCache>
                <c:formatCode>0.0%</c:formatCode>
                <c:ptCount val="15"/>
                <c:pt idx="0">
                  <c:v>1.2285820412353583</c:v>
                </c:pt>
                <c:pt idx="1">
                  <c:v>1.0132011823947666</c:v>
                </c:pt>
                <c:pt idx="2">
                  <c:v>0.8191976865927828</c:v>
                </c:pt>
                <c:pt idx="3">
                  <c:v>0.88006640478773157</c:v>
                </c:pt>
                <c:pt idx="4">
                  <c:v>0.89288884826132586</c:v>
                </c:pt>
                <c:pt idx="5">
                  <c:v>0.90846906483175105</c:v>
                </c:pt>
                <c:pt idx="6">
                  <c:v>0.98445015563531901</c:v>
                </c:pt>
                <c:pt idx="7">
                  <c:v>1.0531632483553559</c:v>
                </c:pt>
                <c:pt idx="8">
                  <c:v>0.79195539397900416</c:v>
                </c:pt>
                <c:pt idx="9">
                  <c:v>0.8159844554698259</c:v>
                </c:pt>
                <c:pt idx="10">
                  <c:v>0.8379551083289456</c:v>
                </c:pt>
                <c:pt idx="11">
                  <c:v>0.79032466478464425</c:v>
                </c:pt>
                <c:pt idx="12">
                  <c:v>0.771331653353583</c:v>
                </c:pt>
                <c:pt idx="13">
                  <c:v>0.87740073964739029</c:v>
                </c:pt>
                <c:pt idx="14">
                  <c:v>0.81660467187362962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20928"/>
        <c:axId val="107825792"/>
      </c:lineChart>
      <c:catAx>
        <c:axId val="10782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/>
          <a:lstStyle/>
          <a:p>
            <a:pPr>
              <a:defRPr/>
            </a:pPr>
            <a:endParaRPr lang="ru-RU"/>
          </a:p>
        </c:txPr>
        <c:crossAx val="107825792"/>
        <c:crosses val="autoZero"/>
        <c:auto val="1"/>
        <c:lblAlgn val="ctr"/>
        <c:lblOffset val="100"/>
        <c:noMultiLvlLbl val="0"/>
      </c:catAx>
      <c:valAx>
        <c:axId val="10782579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07820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Активы</c:v>
          </c:tx>
          <c:spPr>
            <a:ln>
              <a:solidFill>
                <a:srgbClr val="FF9900"/>
              </a:solidFill>
            </a:ln>
          </c:spPr>
          <c:marker>
            <c:symbol val="circle"/>
            <c:size val="7"/>
            <c:spPr>
              <a:solidFill>
                <a:schemeClr val="bg1"/>
              </a:solidFill>
              <a:ln w="25400">
                <a:solidFill>
                  <a:srgbClr val="FF9900"/>
                </a:solidFill>
              </a:ln>
            </c:spPr>
          </c:marker>
          <c:cat>
            <c:numRef>
              <c:f>Лист1!$A$18:$A$32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Лист1!$B$18:$B$32</c:f>
              <c:numCache>
                <c:formatCode>General</c:formatCode>
                <c:ptCount val="15"/>
                <c:pt idx="0">
                  <c:v>952586</c:v>
                </c:pt>
                <c:pt idx="1">
                  <c:v>849708</c:v>
                </c:pt>
                <c:pt idx="2">
                  <c:v>766008</c:v>
                </c:pt>
                <c:pt idx="3">
                  <c:v>919232</c:v>
                </c:pt>
                <c:pt idx="4">
                  <c:v>1015845</c:v>
                </c:pt>
                <c:pt idx="5">
                  <c:v>1095164</c:v>
                </c:pt>
                <c:pt idx="6">
                  <c:v>1222693</c:v>
                </c:pt>
                <c:pt idx="7">
                  <c:v>1306013</c:v>
                </c:pt>
                <c:pt idx="8">
                  <c:v>969393</c:v>
                </c:pt>
                <c:pt idx="9">
                  <c:v>1081363</c:v>
                </c:pt>
                <c:pt idx="10">
                  <c:v>1203146</c:v>
                </c:pt>
                <c:pt idx="11">
                  <c:v>1241604</c:v>
                </c:pt>
                <c:pt idx="12">
                  <c:v>1326584</c:v>
                </c:pt>
                <c:pt idx="13">
                  <c:v>1394546</c:v>
                </c:pt>
                <c:pt idx="14">
                  <c:v>1452449</c:v>
                </c:pt>
              </c:numCache>
            </c:numRef>
          </c:val>
          <c:smooth val="0"/>
        </c:ser>
        <c:ser>
          <c:idx val="1"/>
          <c:order val="1"/>
          <c:tx>
            <c:v>Обязательства</c:v>
          </c:tx>
          <c:spPr>
            <a:ln>
              <a:solidFill>
                <a:srgbClr val="006C4E"/>
              </a:solidFill>
            </a:ln>
          </c:spPr>
          <c:marker>
            <c:symbol val="circle"/>
            <c:size val="7"/>
            <c:spPr>
              <a:solidFill>
                <a:schemeClr val="bg1"/>
              </a:solidFill>
              <a:ln w="25400">
                <a:solidFill>
                  <a:srgbClr val="006C4E"/>
                </a:solidFill>
              </a:ln>
            </c:spPr>
          </c:marker>
          <c:cat>
            <c:numRef>
              <c:f>Лист1!$A$18:$A$32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Лист1!$C$18:$C$32</c:f>
              <c:numCache>
                <c:formatCode>General</c:formatCode>
                <c:ptCount val="15"/>
                <c:pt idx="0">
                  <c:v>775354</c:v>
                </c:pt>
                <c:pt idx="1">
                  <c:v>838637</c:v>
                </c:pt>
                <c:pt idx="2">
                  <c:v>935071</c:v>
                </c:pt>
                <c:pt idx="3">
                  <c:v>1044503</c:v>
                </c:pt>
                <c:pt idx="4">
                  <c:v>1137706</c:v>
                </c:pt>
                <c:pt idx="5">
                  <c:v>1205505</c:v>
                </c:pt>
                <c:pt idx="6">
                  <c:v>1242006</c:v>
                </c:pt>
                <c:pt idx="7">
                  <c:v>1240086</c:v>
                </c:pt>
                <c:pt idx="8">
                  <c:v>1224050</c:v>
                </c:pt>
                <c:pt idx="9">
                  <c:v>1325225</c:v>
                </c:pt>
                <c:pt idx="10">
                  <c:v>1435812</c:v>
                </c:pt>
                <c:pt idx="11">
                  <c:v>1571005</c:v>
                </c:pt>
                <c:pt idx="12">
                  <c:v>1719862</c:v>
                </c:pt>
                <c:pt idx="13">
                  <c:v>1589406</c:v>
                </c:pt>
                <c:pt idx="14">
                  <c:v>1778644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52160"/>
        <c:axId val="107854080"/>
      </c:lineChart>
      <c:catAx>
        <c:axId val="10785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/>
          <a:lstStyle/>
          <a:p>
            <a:pPr>
              <a:defRPr/>
            </a:pPr>
            <a:endParaRPr lang="ru-RU"/>
          </a:p>
        </c:txPr>
        <c:crossAx val="107854080"/>
        <c:crosses val="autoZero"/>
        <c:auto val="1"/>
        <c:lblAlgn val="ctr"/>
        <c:lblOffset val="100"/>
        <c:noMultiLvlLbl val="0"/>
      </c:catAx>
      <c:valAx>
        <c:axId val="10785408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crossAx val="10785216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2.3496502930742253E-2"/>
                <c:y val="0.28995132175903582"/>
              </c:manualLayout>
            </c:layout>
            <c:tx>
              <c:rich>
                <a:bodyPr/>
                <a:lstStyle/>
                <a:p>
                  <a:pPr>
                    <a:defRPr b="0"/>
                  </a:pPr>
                  <a:r>
                    <a:rPr lang="en-US" b="0"/>
                    <a:t>$</a:t>
                  </a:r>
                  <a:r>
                    <a:rPr lang="ru-RU" b="0"/>
                    <a:t>млрд.</a:t>
                  </a:r>
                  <a:endParaRPr lang="en-US" b="0"/>
                </a:p>
              </c:rich>
            </c:tx>
          </c:dispUnitsLbl>
        </c:dispUnits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2013</c:v>
          </c:tx>
          <c:spPr>
            <a:solidFill>
              <a:srgbClr val="006C4E"/>
            </a:solidFill>
          </c:spPr>
          <c:invertIfNegative val="0"/>
          <c:cat>
            <c:strRef>
              <c:f>(EU!$U$17,EU!$AE$17,EU!$AP$17,EU!$BA$17,EU!$BS$17,EU!$CD$17,EU!$CW$17)</c:f>
              <c:strCache>
                <c:ptCount val="7"/>
                <c:pt idx="0">
                  <c:v>Депозиты</c:v>
                </c:pt>
                <c:pt idx="1">
                  <c:v>Займы</c:v>
                </c:pt>
                <c:pt idx="2">
                  <c:v>Цен.бум. кроме акций</c:v>
                </c:pt>
                <c:pt idx="3">
                  <c:v>Акции</c:v>
                </c:pt>
                <c:pt idx="4">
                  <c:v>Фонды денежного рынка</c:v>
                </c:pt>
                <c:pt idx="5">
                  <c:v>Страховые контракты</c:v>
                </c:pt>
                <c:pt idx="6">
                  <c:v>Нефинансовые активы</c:v>
                </c:pt>
              </c:strCache>
            </c:strRef>
          </c:cat>
          <c:val>
            <c:numRef>
              <c:f>(EU!$U$18,EU!$AE$18,EU!$AP$18,EU!$BA$18,EU!$BS$18,EU!$CD$18,EU!$CW$18)</c:f>
              <c:numCache>
                <c:formatCode>0.00%</c:formatCode>
                <c:ptCount val="7"/>
                <c:pt idx="0">
                  <c:v>0.2092</c:v>
                </c:pt>
                <c:pt idx="1">
                  <c:v>6.5199999999999994E-2</c:v>
                </c:pt>
                <c:pt idx="2">
                  <c:v>0.44180000000000003</c:v>
                </c:pt>
                <c:pt idx="3">
                  <c:v>0.20480000000000001</c:v>
                </c:pt>
                <c:pt idx="4">
                  <c:v>7.7999999999999996E-3</c:v>
                </c:pt>
                <c:pt idx="5">
                  <c:v>3.1099999999999999E-2</c:v>
                </c:pt>
                <c:pt idx="6">
                  <c:v>0.04</c:v>
                </c:pt>
              </c:numCache>
            </c:numRef>
          </c:val>
        </c:ser>
        <c:ser>
          <c:idx val="1"/>
          <c:order val="1"/>
          <c:tx>
            <c:v>2014</c:v>
          </c:tx>
          <c:spPr>
            <a:solidFill>
              <a:srgbClr val="FF9900"/>
            </a:solidFill>
          </c:spPr>
          <c:invertIfNegative val="0"/>
          <c:cat>
            <c:strRef>
              <c:f>(EU!$U$17,EU!$AE$17,EU!$AP$17,EU!$BA$17,EU!$BS$17,EU!$CD$17,EU!$CW$17)</c:f>
              <c:strCache>
                <c:ptCount val="7"/>
                <c:pt idx="0">
                  <c:v>Депозиты</c:v>
                </c:pt>
                <c:pt idx="1">
                  <c:v>Займы</c:v>
                </c:pt>
                <c:pt idx="2">
                  <c:v>Цен.бум. кроме акций</c:v>
                </c:pt>
                <c:pt idx="3">
                  <c:v>Акции</c:v>
                </c:pt>
                <c:pt idx="4">
                  <c:v>Фонды денежного рынка</c:v>
                </c:pt>
                <c:pt idx="5">
                  <c:v>Страховые контракты</c:v>
                </c:pt>
                <c:pt idx="6">
                  <c:v>Нефинансовые активы</c:v>
                </c:pt>
              </c:strCache>
            </c:strRef>
          </c:cat>
          <c:val>
            <c:numRef>
              <c:f>(EU!$U$19,EU!$AE$19,EU!$AP$19,EU!$BA$19,EU!$BS$19,EU!$CD$19,EU!$CW$19)</c:f>
              <c:numCache>
                <c:formatCode>0.00%</c:formatCode>
                <c:ptCount val="7"/>
                <c:pt idx="0">
                  <c:v>0.18959999999999999</c:v>
                </c:pt>
                <c:pt idx="1">
                  <c:v>5.9400000000000001E-2</c:v>
                </c:pt>
                <c:pt idx="2">
                  <c:v>0.46300000000000002</c:v>
                </c:pt>
                <c:pt idx="3">
                  <c:v>0.21740000000000001</c:v>
                </c:pt>
                <c:pt idx="4">
                  <c:v>8.0000000000000002E-3</c:v>
                </c:pt>
                <c:pt idx="5">
                  <c:v>2.4899999999999999E-2</c:v>
                </c:pt>
                <c:pt idx="6">
                  <c:v>3.78E-2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864256"/>
        <c:axId val="154878336"/>
      </c:barChart>
      <c:catAx>
        <c:axId val="1548642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Calibri" panose="020F0502020204030204" pitchFamily="34" charset="0"/>
              </a:defRPr>
            </a:pPr>
            <a:endParaRPr lang="ru-RU"/>
          </a:p>
        </c:txPr>
        <c:crossAx val="154878336"/>
        <c:crosses val="autoZero"/>
        <c:auto val="1"/>
        <c:lblAlgn val="ctr"/>
        <c:lblOffset val="100"/>
        <c:noMultiLvlLbl val="0"/>
      </c:catAx>
      <c:valAx>
        <c:axId val="15487833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800" b="0">
                    <a:latin typeface="Calibri" panose="020F0502020204030204" pitchFamily="34" charset="0"/>
                  </a:defRPr>
                </a:pPr>
                <a:r>
                  <a:rPr lang="ru-RU" sz="800" b="0">
                    <a:latin typeface="Calibri" panose="020F0502020204030204" pitchFamily="34" charset="0"/>
                  </a:rPr>
                  <a:t>Доля актива в портфеле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Calibri" panose="020F0502020204030204" pitchFamily="34" charset="0"/>
              </a:defRPr>
            </a:pPr>
            <a:endParaRPr lang="ru-RU"/>
          </a:p>
        </c:txPr>
        <c:crossAx val="154864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Calibri" panose="020F0502020204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94444444444445"/>
          <c:y val="0.18034591578860831"/>
          <c:w val="0.76388888888888884"/>
          <c:h val="0.63416884990093148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rgbClr val="A3C9AC"/>
              </a:solidFill>
            </c:spPr>
          </c:dPt>
          <c:dPt>
            <c:idx val="1"/>
            <c:bubble3D val="0"/>
            <c:spPr>
              <a:solidFill>
                <a:srgbClr val="F46106"/>
              </a:solidFill>
            </c:spPr>
          </c:dPt>
          <c:dPt>
            <c:idx val="2"/>
            <c:bubble3D val="0"/>
            <c:spPr>
              <a:solidFill>
                <a:srgbClr val="006C4E"/>
              </a:solidFill>
              <a:ln>
                <a:solidFill>
                  <a:schemeClr val="accent1"/>
                </a:solidFill>
              </a:ln>
            </c:spPr>
          </c:dPt>
          <c:dPt>
            <c:idx val="3"/>
            <c:bubble3D val="0"/>
            <c:spPr>
              <a:solidFill>
                <a:srgbClr val="5EA06E"/>
              </a:solidFill>
            </c:spPr>
          </c:dPt>
          <c:dPt>
            <c:idx val="4"/>
            <c:bubble3D val="0"/>
            <c:spPr>
              <a:solidFill>
                <a:srgbClr val="F4D9C8"/>
              </a:solidFill>
            </c:spPr>
          </c:dPt>
          <c:dPt>
            <c:idx val="5"/>
            <c:bubble3D val="0"/>
            <c:spPr>
              <a:solidFill>
                <a:srgbClr val="E0A366"/>
              </a:solidFill>
            </c:spPr>
          </c:dPt>
          <c:dPt>
            <c:idx val="6"/>
            <c:bubble3D val="0"/>
            <c:spPr>
              <a:solidFill>
                <a:srgbClr val="DBA08D"/>
              </a:solidFill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2.4999781277340382E-2"/>
                  <c:y val="5.172943986712996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Calibri" panose="020F0502020204030204" pitchFamily="34" charset="0"/>
                      </a:rPr>
                      <a:t>Депозиты</a:t>
                    </a:r>
                    <a:r>
                      <a:rPr lang="ru-RU" sz="800">
                        <a:latin typeface="Calibri" panose="020F0502020204030204" pitchFamily="34" charset="0"/>
                      </a:rPr>
                      <a:t> </a:t>
                    </a:r>
                    <a:r>
                      <a:rPr lang="ru-RU" sz="800">
                        <a:latin typeface="Calibri" panose="020F0502020204030204" pitchFamily="34" charset="0"/>
                        <a:cs typeface="Times New Roman"/>
                      </a:rPr>
                      <a:t>€368,51</a:t>
                    </a:r>
                  </a:p>
                  <a:p>
                    <a:r>
                      <a:rPr lang="en-US" sz="800">
                        <a:latin typeface="Calibri" panose="020F0502020204030204" pitchFamily="34" charset="0"/>
                      </a:rPr>
                      <a:t>18,10%</a:t>
                    </a:r>
                    <a:endParaRPr lang="en-US" sz="800">
                      <a:latin typeface="+mn-lt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611089238845144"/>
                  <c:y val="8.232552231503922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Calibri" panose="020F0502020204030204" pitchFamily="34" charset="0"/>
                      </a:rPr>
                      <a:t>Займы</a:t>
                    </a:r>
                    <a:r>
                      <a:rPr lang="ru-RU" sz="800">
                        <a:latin typeface="Calibri" panose="020F0502020204030204" pitchFamily="34" charset="0"/>
                      </a:rPr>
                      <a:t> </a:t>
                    </a:r>
                    <a:r>
                      <a:rPr lang="ru-RU" sz="800">
                        <a:latin typeface="Calibri" panose="020F0502020204030204" pitchFamily="34" charset="0"/>
                        <a:cs typeface="Times New Roman"/>
                      </a:rPr>
                      <a:t>€121,01</a:t>
                    </a:r>
                  </a:p>
                  <a:p>
                    <a:r>
                      <a:rPr lang="en-US" sz="800">
                        <a:latin typeface="Calibri" panose="020F0502020204030204" pitchFamily="34" charset="0"/>
                      </a:rPr>
                      <a:t>5,94%</a:t>
                    </a:r>
                    <a:endParaRPr lang="en-US" sz="800">
                      <a:latin typeface="+mn-lt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461241861354914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dirty="0" err="1">
                        <a:latin typeface="Calibri" panose="020F0502020204030204" pitchFamily="34" charset="0"/>
                      </a:rPr>
                      <a:t>Цен.бум</a:t>
                    </a:r>
                    <a:r>
                      <a:rPr lang="ru-RU" sz="800" b="1" dirty="0">
                        <a:latin typeface="Calibri" panose="020F0502020204030204" pitchFamily="34" charset="0"/>
                      </a:rPr>
                      <a:t>. </a:t>
                    </a:r>
                  </a:p>
                  <a:p>
                    <a:r>
                      <a:rPr lang="ru-RU" sz="800" b="1" dirty="0">
                        <a:latin typeface="Calibri" panose="020F0502020204030204" pitchFamily="34" charset="0"/>
                      </a:rPr>
                      <a:t>кроме акций</a:t>
                    </a:r>
                  </a:p>
                  <a:p>
                    <a:r>
                      <a:rPr lang="en-US" sz="800" dirty="0">
                        <a:latin typeface="Calibri" panose="020F0502020204030204" pitchFamily="34" charset="0"/>
                        <a:cs typeface="Times New Roman"/>
                      </a:rPr>
                      <a:t>€</a:t>
                    </a:r>
                    <a:r>
                      <a:rPr lang="ru-RU" sz="800" dirty="0">
                        <a:latin typeface="Calibri" panose="020F0502020204030204" pitchFamily="34" charset="0"/>
                        <a:cs typeface="Times New Roman"/>
                      </a:rPr>
                      <a:t>946,51</a:t>
                    </a:r>
                  </a:p>
                  <a:p>
                    <a:r>
                      <a:rPr lang="en-US" sz="800" dirty="0">
                        <a:latin typeface="Calibri" panose="020F0502020204030204" pitchFamily="34" charset="0"/>
                      </a:rPr>
                      <a:t>46,50%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5000021872265967"/>
                  <c:y val="-6.3921143339979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Calibri" panose="020F0502020204030204" pitchFamily="34" charset="0"/>
                      </a:rPr>
                      <a:t>Акции </a:t>
                    </a:r>
                    <a:r>
                      <a:rPr lang="ru-RU" sz="800">
                        <a:latin typeface="Calibri" panose="020F0502020204030204" pitchFamily="34" charset="0"/>
                        <a:cs typeface="Times New Roman"/>
                      </a:rPr>
                      <a:t>€460,64</a:t>
                    </a:r>
                  </a:p>
                  <a:p>
                    <a:r>
                      <a:rPr lang="en-US" sz="800">
                        <a:latin typeface="Calibri" panose="020F0502020204030204" pitchFamily="34" charset="0"/>
                      </a:rPr>
                      <a:t>22,63%</a:t>
                    </a:r>
                    <a:endParaRPr lang="en-US" sz="8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777559055118112E-2"/>
                  <c:y val="-0.152778142315543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Calibri" panose="020F0502020204030204" pitchFamily="34" charset="0"/>
                      </a:rPr>
                      <a:t>Фонды </a:t>
                    </a:r>
                  </a:p>
                  <a:p>
                    <a:r>
                      <a:rPr lang="ru-RU" sz="800" b="1">
                        <a:latin typeface="Calibri" panose="020F0502020204030204" pitchFamily="34" charset="0"/>
                      </a:rPr>
                      <a:t>денежного рынка </a:t>
                    </a:r>
                  </a:p>
                  <a:p>
                    <a:r>
                      <a:rPr lang="ru-RU" sz="800">
                        <a:latin typeface="Calibri" panose="020F0502020204030204" pitchFamily="34" charset="0"/>
                        <a:cs typeface="Times New Roman"/>
                      </a:rPr>
                      <a:t>€16,45</a:t>
                    </a:r>
                    <a:endParaRPr lang="ru-RU" sz="800">
                      <a:latin typeface="Calibri" panose="020F0502020204030204" pitchFamily="34" charset="0"/>
                    </a:endParaRPr>
                  </a:p>
                  <a:p>
                    <a:r>
                      <a:rPr lang="en-US" sz="800">
                        <a:latin typeface="Calibri" panose="020F0502020204030204" pitchFamily="34" charset="0"/>
                      </a:rPr>
                      <a:t>0,81%</a:t>
                    </a:r>
                    <a:endParaRPr lang="en-US" sz="8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2222200349956255"/>
                  <c:y val="-3.884915610282098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Calibri" panose="020F0502020204030204" pitchFamily="34" charset="0"/>
                      </a:rPr>
                      <a:t>Страховые контракты </a:t>
                    </a:r>
                  </a:p>
                  <a:p>
                    <a:r>
                      <a:rPr lang="ru-RU" sz="800">
                        <a:latin typeface="Calibri" panose="020F0502020204030204" pitchFamily="34" charset="0"/>
                        <a:cs typeface="Times New Roman"/>
                      </a:rPr>
                      <a:t>€48,07</a:t>
                    </a:r>
                    <a:endParaRPr lang="ru-RU" sz="800">
                      <a:latin typeface="Calibri" panose="020F0502020204030204" pitchFamily="34" charset="0"/>
                    </a:endParaRPr>
                  </a:p>
                  <a:p>
                    <a:r>
                      <a:rPr lang="en-US" sz="800">
                        <a:latin typeface="Calibri" panose="020F0502020204030204" pitchFamily="34" charset="0"/>
                      </a:rPr>
                      <a:t>2,36%</a:t>
                    </a:r>
                    <a:endParaRPr lang="en-US" sz="800">
                      <a:latin typeface="+mn-lt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744531933508311E-7"/>
                  <c:y val="6.5396584233797629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 dirty="0">
                        <a:latin typeface="Calibri" panose="020F0502020204030204" pitchFamily="34" charset="0"/>
                      </a:rPr>
                      <a:t>Нефинансовые активы </a:t>
                    </a:r>
                  </a:p>
                  <a:p>
                    <a:r>
                      <a:rPr lang="ru-RU" sz="800" dirty="0">
                        <a:latin typeface="Calibri" panose="020F0502020204030204" pitchFamily="34" charset="0"/>
                        <a:cs typeface="Times New Roman"/>
                      </a:rPr>
                      <a:t>€74,4</a:t>
                    </a:r>
                    <a:r>
                      <a:rPr lang="ru-RU" sz="800" dirty="0">
                        <a:latin typeface="Calibri" panose="020F0502020204030204" pitchFamily="34" charset="0"/>
                      </a:rPr>
                      <a:t> </a:t>
                    </a:r>
                  </a:p>
                  <a:p>
                    <a:r>
                      <a:rPr lang="en-US" sz="800" dirty="0">
                        <a:latin typeface="Calibri" panose="020F0502020204030204" pitchFamily="34" charset="0"/>
                      </a:rPr>
                      <a:t>3,65%</a:t>
                    </a:r>
                    <a:endParaRPr lang="en-US" sz="800" dirty="0">
                      <a:latin typeface="+mn-lt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833333333333334"/>
                  <c:y val="-8.4875562720133283E-1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Calibri" panose="020F0502020204030204" pitchFamily="34" charset="0"/>
                      </a:rPr>
                      <a:t>Прочее</a:t>
                    </a:r>
                  </a:p>
                  <a:p>
                    <a:r>
                      <a:rPr lang="en-US" sz="800">
                        <a:latin typeface="Calibri" panose="020F0502020204030204" pitchFamily="34" charset="0"/>
                      </a:rPr>
                      <a:t>6,82%</a:t>
                    </a:r>
                    <a:endParaRPr lang="en-US" sz="800">
                      <a:latin typeface="+mn-lt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Calibri" panose="020F050202020403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(EU!$P$13;EU!$Z$13;EU!$AI$13;EU!$AR$13;EU!$BH$13;EU!$BQ$13;EU!$CJ$13)</c:f>
              <c:numCache>
                <c:formatCode>0.00%</c:formatCode>
                <c:ptCount val="7"/>
                <c:pt idx="0">
                  <c:v>0.18103448275862066</c:v>
                </c:pt>
                <c:pt idx="1">
                  <c:v>5.9446839080459765E-2</c:v>
                </c:pt>
                <c:pt idx="2">
                  <c:v>0.46497844827586199</c:v>
                </c:pt>
                <c:pt idx="3">
                  <c:v>0.22629310344827583</c:v>
                </c:pt>
                <c:pt idx="4">
                  <c:v>8.0818965517241367E-3</c:v>
                </c:pt>
                <c:pt idx="5">
                  <c:v>2.3617097701149423E-2</c:v>
                </c:pt>
                <c:pt idx="6">
                  <c:v>3.6548132183908046E-2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cust"/>
        <c:custSplit>
          <c:secondPiePt val="1"/>
          <c:secondPiePt val="4"/>
          <c:secondPiePt val="5"/>
          <c:secondPiePt val="6"/>
        </c:custSplit>
        <c:secondPieSize val="75"/>
        <c:serLines/>
      </c:of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Лист1!$C$48</c:f>
              <c:strCache>
                <c:ptCount val="1"/>
                <c:pt idx="0">
                  <c:v>Внебиржевые акции</c:v>
                </c:pt>
              </c:strCache>
            </c:strRef>
          </c:tx>
          <c:spPr>
            <a:solidFill>
              <a:srgbClr val="A3C9AC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9.029235928842228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7330125400991538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120984074218733E-17"/>
                  <c:y val="-2.019976669582977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Лист1!$B$49:$B$52</c:f>
              <c:numCache>
                <c:formatCode>General</c:formatCode>
                <c:ptCount val="4"/>
                <c:pt idx="0">
                  <c:v>2004</c:v>
                </c:pt>
                <c:pt idx="1">
                  <c:v>2007</c:v>
                </c:pt>
                <c:pt idx="2">
                  <c:v>2013</c:v>
                </c:pt>
                <c:pt idx="3">
                  <c:v>2020</c:v>
                </c:pt>
              </c:numCache>
            </c:numRef>
          </c:cat>
          <c:val>
            <c:numRef>
              <c:f>Лист1!$C$49:$C$52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3.6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Лист1!$D$48</c:f>
              <c:strCache>
                <c:ptCount val="1"/>
                <c:pt idx="0">
                  <c:v>Реальные активы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dLbl>
              <c:idx val="0"/>
              <c:layout>
                <c:manualLayout>
                  <c:x val="-5.0941306755260242E-2"/>
                  <c:y val="-1.279527559055287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150138209468409E-3"/>
                  <c:y val="-4.756293612319453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043379994167395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439680505053147E-7"/>
                  <c:y val="1.2977544473615954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Лист1!$B$49:$B$52</c:f>
              <c:numCache>
                <c:formatCode>General</c:formatCode>
                <c:ptCount val="4"/>
                <c:pt idx="0">
                  <c:v>2004</c:v>
                </c:pt>
                <c:pt idx="1">
                  <c:v>2007</c:v>
                </c:pt>
                <c:pt idx="2">
                  <c:v>2013</c:v>
                </c:pt>
                <c:pt idx="3">
                  <c:v>2020</c:v>
                </c:pt>
              </c:numCache>
            </c:numRef>
          </c:cat>
          <c:val>
            <c:numRef>
              <c:f>Лист1!$D$49:$D$52</c:f>
              <c:numCache>
                <c:formatCode>General</c:formatCode>
                <c:ptCount val="4"/>
                <c:pt idx="0">
                  <c:v>0.5</c:v>
                </c:pt>
                <c:pt idx="1">
                  <c:v>0.8</c:v>
                </c:pt>
                <c:pt idx="2">
                  <c:v>1.4</c:v>
                </c:pt>
                <c:pt idx="3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Лист1!$E$48</c:f>
              <c:strCache>
                <c:ptCount val="1"/>
                <c:pt idx="0">
                  <c:v>Хедж фонды</c:v>
                </c:pt>
              </c:strCache>
            </c:strRef>
          </c:tx>
          <c:spPr>
            <a:solidFill>
              <a:srgbClr val="006C4E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3002333041703121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1436278798483524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439680505053147E-7"/>
                  <c:y val="-9.375911344415706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Лист1!$B$49:$B$52</c:f>
              <c:numCache>
                <c:formatCode>General</c:formatCode>
                <c:ptCount val="4"/>
                <c:pt idx="0">
                  <c:v>2004</c:v>
                </c:pt>
                <c:pt idx="1">
                  <c:v>2007</c:v>
                </c:pt>
                <c:pt idx="2">
                  <c:v>2013</c:v>
                </c:pt>
                <c:pt idx="3">
                  <c:v>2020</c:v>
                </c:pt>
              </c:numCache>
            </c:numRef>
          </c:cat>
          <c:val>
            <c:numRef>
              <c:f>Лист1!$E$49:$E$52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2.9</c:v>
                </c:pt>
                <c:pt idx="3">
                  <c:v>4.5999999999999996</c:v>
                </c:pt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2099200"/>
        <c:axId val="142100736"/>
      </c:barChart>
      <c:catAx>
        <c:axId val="14209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100736"/>
        <c:crosses val="autoZero"/>
        <c:auto val="1"/>
        <c:lblAlgn val="ctr"/>
        <c:lblOffset val="100"/>
        <c:noMultiLvlLbl val="0"/>
      </c:catAx>
      <c:valAx>
        <c:axId val="142100736"/>
        <c:scaling>
          <c:orientation val="minMax"/>
          <c:max val="14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crossAx val="14209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">
    <a:dk1>
      <a:srgbClr val="000000"/>
    </a:dk1>
    <a:lt1>
      <a:srgbClr val="FFFFFF"/>
    </a:lt1>
    <a:dk2>
      <a:srgbClr val="5F5F5F"/>
    </a:dk2>
    <a:lt2>
      <a:srgbClr val="808080"/>
    </a:lt2>
    <a:accent1>
      <a:srgbClr val="42A62A"/>
    </a:accent1>
    <a:accent2>
      <a:srgbClr val="00694E"/>
    </a:accent2>
    <a:accent3>
      <a:srgbClr val="FFFFFF"/>
    </a:accent3>
    <a:accent4>
      <a:srgbClr val="000000"/>
    </a:accent4>
    <a:accent5>
      <a:srgbClr val="B0D0AC"/>
    </a:accent5>
    <a:accent6>
      <a:srgbClr val="005E46"/>
    </a:accent6>
    <a:hlink>
      <a:srgbClr val="FFCC00"/>
    </a:hlink>
    <a:folHlink>
      <a:srgbClr val="FF99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">
    <a:dk1>
      <a:srgbClr val="000000"/>
    </a:dk1>
    <a:lt1>
      <a:srgbClr val="FFFFFF"/>
    </a:lt1>
    <a:dk2>
      <a:srgbClr val="5F5F5F"/>
    </a:dk2>
    <a:lt2>
      <a:srgbClr val="808080"/>
    </a:lt2>
    <a:accent1>
      <a:srgbClr val="42A62A"/>
    </a:accent1>
    <a:accent2>
      <a:srgbClr val="00694E"/>
    </a:accent2>
    <a:accent3>
      <a:srgbClr val="FFFFFF"/>
    </a:accent3>
    <a:accent4>
      <a:srgbClr val="000000"/>
    </a:accent4>
    <a:accent5>
      <a:srgbClr val="B0D0AC"/>
    </a:accent5>
    <a:accent6>
      <a:srgbClr val="005E46"/>
    </a:accent6>
    <a:hlink>
      <a:srgbClr val="FFCC00"/>
    </a:hlink>
    <a:folHlink>
      <a:srgbClr val="FF99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">
    <a:dk1>
      <a:srgbClr val="000000"/>
    </a:dk1>
    <a:lt1>
      <a:srgbClr val="FFFFFF"/>
    </a:lt1>
    <a:dk2>
      <a:srgbClr val="5F5F5F"/>
    </a:dk2>
    <a:lt2>
      <a:srgbClr val="808080"/>
    </a:lt2>
    <a:accent1>
      <a:srgbClr val="42A62A"/>
    </a:accent1>
    <a:accent2>
      <a:srgbClr val="00694E"/>
    </a:accent2>
    <a:accent3>
      <a:srgbClr val="FFFFFF"/>
    </a:accent3>
    <a:accent4>
      <a:srgbClr val="000000"/>
    </a:accent4>
    <a:accent5>
      <a:srgbClr val="B0D0AC"/>
    </a:accent5>
    <a:accent6>
      <a:srgbClr val="005E46"/>
    </a:accent6>
    <a:hlink>
      <a:srgbClr val="FFCC00"/>
    </a:hlink>
    <a:folHlink>
      <a:srgbClr val="FF99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558E-807B-441E-9810-E13FEF94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 Антон Александрович</dc:creator>
  <cp:lastModifiedBy>Комаров Алексей Константинович</cp:lastModifiedBy>
  <cp:revision>2</cp:revision>
  <cp:lastPrinted>2015-08-24T08:03:00Z</cp:lastPrinted>
  <dcterms:created xsi:type="dcterms:W3CDTF">2015-09-02T08:08:00Z</dcterms:created>
  <dcterms:modified xsi:type="dcterms:W3CDTF">2015-09-02T08:08:00Z</dcterms:modified>
</cp:coreProperties>
</file>