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5F" w:rsidRPr="000B2F5F" w:rsidRDefault="00C97786" w:rsidP="00FF4C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B2F5F">
        <w:rPr>
          <w:rFonts w:ascii="Times New Roman" w:hAnsi="Times New Roman" w:cs="Times New Roman"/>
          <w:b/>
          <w:sz w:val="28"/>
        </w:rPr>
        <w:t>Равновесный подход к определению соотношения рис</w:t>
      </w:r>
      <w:r w:rsidR="00FF4CDD" w:rsidRPr="000B2F5F">
        <w:rPr>
          <w:rFonts w:ascii="Times New Roman" w:hAnsi="Times New Roman" w:cs="Times New Roman"/>
          <w:b/>
          <w:sz w:val="28"/>
        </w:rPr>
        <w:t xml:space="preserve">к-доходность в условиях </w:t>
      </w:r>
      <w:r w:rsidR="000B2F5F" w:rsidRPr="000B2F5F">
        <w:rPr>
          <w:rFonts w:ascii="Times New Roman" w:hAnsi="Times New Roman" w:cs="Times New Roman"/>
          <w:b/>
          <w:sz w:val="28"/>
        </w:rPr>
        <w:t>криз</w:t>
      </w:r>
      <w:r w:rsidR="00FF4CDD" w:rsidRPr="000B2F5F">
        <w:rPr>
          <w:rFonts w:ascii="Times New Roman" w:hAnsi="Times New Roman" w:cs="Times New Roman"/>
          <w:b/>
          <w:sz w:val="28"/>
        </w:rPr>
        <w:t>иса</w:t>
      </w:r>
      <w:r w:rsidR="000B2F5F" w:rsidRPr="000B2F5F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2F5F" w:rsidRPr="000B2F5F" w:rsidRDefault="000B2F5F" w:rsidP="00FF4C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B2F5F" w:rsidRPr="000B2F5F" w:rsidRDefault="000B2F5F" w:rsidP="00FF4C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B2F5F" w:rsidRPr="000B2F5F" w:rsidRDefault="000B2F5F" w:rsidP="00FF4C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F5E7C" w:rsidRPr="000B2F5F" w:rsidRDefault="000B2F5F" w:rsidP="000B2F5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937808" cy="1217705"/>
            <wp:effectExtent l="0" t="0" r="0" b="1905"/>
            <wp:docPr id="2" name="Рисунок 2" descr="C:\Users\AKomarov\Desktop\Журнал новый номер\Номер 24(4)\Фото Смет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Журнал новый номер\Номер 24(4)\Фото Сметан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67" cy="12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DD" w:rsidRPr="00FF4CDD" w:rsidRDefault="00FF4CDD" w:rsidP="000F5E7C">
      <w:pPr>
        <w:rPr>
          <w:rFonts w:ascii="Times New Roman" w:hAnsi="Times New Roman" w:cs="Times New Roman"/>
          <w:b/>
          <w:sz w:val="24"/>
        </w:rPr>
      </w:pPr>
    </w:p>
    <w:p w:rsidR="0078345B" w:rsidRPr="00FF4CDD" w:rsidRDefault="0078345B" w:rsidP="00FF4CDD">
      <w:pPr>
        <w:jc w:val="right"/>
        <w:rPr>
          <w:rFonts w:ascii="Times New Roman" w:hAnsi="Times New Roman" w:cs="Times New Roman"/>
          <w:i/>
          <w:sz w:val="24"/>
        </w:rPr>
      </w:pPr>
      <w:r w:rsidRPr="00FF4CDD">
        <w:rPr>
          <w:rFonts w:ascii="Times New Roman" w:hAnsi="Times New Roman" w:cs="Times New Roman"/>
          <w:i/>
          <w:sz w:val="24"/>
        </w:rPr>
        <w:t xml:space="preserve">Александр </w:t>
      </w:r>
      <w:proofErr w:type="spellStart"/>
      <w:r w:rsidRPr="00FF4CDD">
        <w:rPr>
          <w:rFonts w:ascii="Times New Roman" w:hAnsi="Times New Roman" w:cs="Times New Roman"/>
          <w:i/>
          <w:sz w:val="24"/>
        </w:rPr>
        <w:t>Сметанин</w:t>
      </w:r>
      <w:proofErr w:type="spellEnd"/>
      <w:r w:rsidRPr="00FF4CDD">
        <w:rPr>
          <w:rFonts w:ascii="Times New Roman" w:hAnsi="Times New Roman" w:cs="Times New Roman"/>
          <w:i/>
          <w:sz w:val="24"/>
        </w:rPr>
        <w:br/>
        <w:t xml:space="preserve">Директор департамента </w:t>
      </w:r>
      <w:proofErr w:type="gramStart"/>
      <w:r w:rsidRPr="00FF4CDD">
        <w:rPr>
          <w:rFonts w:ascii="Times New Roman" w:hAnsi="Times New Roman" w:cs="Times New Roman"/>
          <w:i/>
          <w:sz w:val="24"/>
        </w:rPr>
        <w:t>риск-менеджмента</w:t>
      </w:r>
      <w:proofErr w:type="gramEnd"/>
      <w:r w:rsidRPr="00FF4CDD">
        <w:rPr>
          <w:rFonts w:ascii="Times New Roman" w:hAnsi="Times New Roman" w:cs="Times New Roman"/>
          <w:i/>
          <w:sz w:val="24"/>
        </w:rPr>
        <w:t xml:space="preserve"> </w:t>
      </w:r>
      <w:r w:rsidR="00FF4CDD" w:rsidRPr="00FF4CDD">
        <w:rPr>
          <w:rFonts w:ascii="Times New Roman" w:hAnsi="Times New Roman" w:cs="Times New Roman"/>
          <w:i/>
          <w:sz w:val="24"/>
        </w:rPr>
        <w:br/>
      </w:r>
      <w:r w:rsidRPr="00FF4CDD">
        <w:rPr>
          <w:rFonts w:ascii="Times New Roman" w:hAnsi="Times New Roman" w:cs="Times New Roman"/>
          <w:i/>
          <w:sz w:val="24"/>
        </w:rPr>
        <w:t>НПФ электроэнергетики</w:t>
      </w:r>
    </w:p>
    <w:p w:rsidR="00FF4CDD" w:rsidRPr="00FF4CDD" w:rsidRDefault="00FF4CDD" w:rsidP="00FF4CDD">
      <w:pPr>
        <w:jc w:val="right"/>
        <w:rPr>
          <w:rFonts w:ascii="Times New Roman" w:hAnsi="Times New Roman" w:cs="Times New Roman"/>
          <w:sz w:val="24"/>
        </w:rPr>
      </w:pPr>
    </w:p>
    <w:p w:rsidR="00C0649C" w:rsidRPr="000B2F5F" w:rsidRDefault="00193801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F5F">
        <w:rPr>
          <w:rFonts w:ascii="Times New Roman" w:hAnsi="Times New Roman" w:cs="Times New Roman"/>
          <w:sz w:val="27"/>
          <w:szCs w:val="27"/>
        </w:rPr>
        <w:t>Во время проверок, проводи</w:t>
      </w:r>
      <w:r w:rsidR="00C802A4" w:rsidRPr="000B2F5F">
        <w:rPr>
          <w:rFonts w:ascii="Times New Roman" w:hAnsi="Times New Roman" w:cs="Times New Roman"/>
          <w:sz w:val="27"/>
          <w:szCs w:val="27"/>
        </w:rPr>
        <w:t>вшихся</w:t>
      </w:r>
      <w:r w:rsidRPr="000B2F5F">
        <w:rPr>
          <w:rFonts w:ascii="Times New Roman" w:hAnsi="Times New Roman" w:cs="Times New Roman"/>
          <w:sz w:val="27"/>
          <w:szCs w:val="27"/>
        </w:rPr>
        <w:t xml:space="preserve"> в </w:t>
      </w:r>
      <w:r w:rsidR="00C802A4" w:rsidRPr="000B2F5F">
        <w:rPr>
          <w:rFonts w:ascii="Times New Roman" w:hAnsi="Times New Roman" w:cs="Times New Roman"/>
          <w:sz w:val="27"/>
          <w:szCs w:val="27"/>
        </w:rPr>
        <w:t xml:space="preserve">негосударственных </w:t>
      </w:r>
      <w:r w:rsidRPr="000B2F5F">
        <w:rPr>
          <w:rFonts w:ascii="Times New Roman" w:hAnsi="Times New Roman" w:cs="Times New Roman"/>
          <w:sz w:val="27"/>
          <w:szCs w:val="27"/>
        </w:rPr>
        <w:t xml:space="preserve">фондах, регулятор уделял особое внимание соответствию доходности инвестиций уровню принимаемого риска. Однако </w:t>
      </w:r>
      <w:r w:rsidR="009C214D" w:rsidRPr="000B2F5F">
        <w:rPr>
          <w:rFonts w:ascii="Times New Roman" w:hAnsi="Times New Roman" w:cs="Times New Roman"/>
          <w:sz w:val="27"/>
          <w:szCs w:val="27"/>
        </w:rPr>
        <w:t xml:space="preserve">если для доходности, как правило, есть понятные всем объективные подходы к оценке, которые в основном описаны в нормативной базе, то регламентация оценки инвестиционных рисков для российского рынка пока находится в начальной стадии. </w:t>
      </w:r>
      <w:r w:rsidR="008A4716" w:rsidRPr="000B2F5F">
        <w:rPr>
          <w:rFonts w:ascii="Times New Roman" w:hAnsi="Times New Roman" w:cs="Times New Roman"/>
          <w:sz w:val="27"/>
          <w:szCs w:val="27"/>
        </w:rPr>
        <w:t>Профессиональное сообщество, понимая необходимость унификации базовых принципов и основных подходов к оценке и управл</w:t>
      </w:r>
      <w:r w:rsidR="003963C1">
        <w:rPr>
          <w:rFonts w:ascii="Times New Roman" w:hAnsi="Times New Roman" w:cs="Times New Roman"/>
          <w:sz w:val="27"/>
          <w:szCs w:val="27"/>
        </w:rPr>
        <w:t xml:space="preserve">ению рисками, а также с учетом </w:t>
      </w:r>
      <w:r w:rsidR="008A4716" w:rsidRPr="000B2F5F">
        <w:rPr>
          <w:rFonts w:ascii="Times New Roman" w:hAnsi="Times New Roman" w:cs="Times New Roman"/>
          <w:sz w:val="27"/>
          <w:szCs w:val="27"/>
        </w:rPr>
        <w:t xml:space="preserve">нормативно-информационного вектора развития систем </w:t>
      </w:r>
      <w:proofErr w:type="gramStart"/>
      <w:r w:rsidR="008A4716" w:rsidRPr="000B2F5F">
        <w:rPr>
          <w:rFonts w:ascii="Times New Roman" w:hAnsi="Times New Roman" w:cs="Times New Roman"/>
          <w:sz w:val="27"/>
          <w:szCs w:val="27"/>
        </w:rPr>
        <w:t>риск-менеджмента</w:t>
      </w:r>
      <w:proofErr w:type="gramEnd"/>
      <w:r w:rsidR="008A4716" w:rsidRPr="000B2F5F">
        <w:rPr>
          <w:rFonts w:ascii="Times New Roman" w:hAnsi="Times New Roman" w:cs="Times New Roman"/>
          <w:sz w:val="27"/>
          <w:szCs w:val="27"/>
        </w:rPr>
        <w:t xml:space="preserve">, обозначенного регулятором, на базе НАПФ </w:t>
      </w:r>
      <w:r w:rsidR="00C2398B" w:rsidRPr="000B2F5F">
        <w:rPr>
          <w:rFonts w:ascii="Times New Roman" w:hAnsi="Times New Roman" w:cs="Times New Roman"/>
          <w:sz w:val="27"/>
          <w:szCs w:val="27"/>
        </w:rPr>
        <w:t xml:space="preserve">летом 2012 года </w:t>
      </w:r>
      <w:r w:rsidR="003963C1">
        <w:rPr>
          <w:rFonts w:ascii="Times New Roman" w:hAnsi="Times New Roman" w:cs="Times New Roman"/>
          <w:sz w:val="27"/>
          <w:szCs w:val="27"/>
        </w:rPr>
        <w:t>были подготовлены</w:t>
      </w:r>
      <w:r w:rsidR="008A4716" w:rsidRPr="000B2F5F">
        <w:rPr>
          <w:rFonts w:ascii="Times New Roman" w:hAnsi="Times New Roman" w:cs="Times New Roman"/>
          <w:sz w:val="27"/>
          <w:szCs w:val="27"/>
        </w:rPr>
        <w:t xml:space="preserve"> </w:t>
      </w:r>
      <w:r w:rsidR="00C2398B" w:rsidRPr="000B2F5F">
        <w:rPr>
          <w:rFonts w:ascii="Times New Roman" w:hAnsi="Times New Roman" w:cs="Times New Roman"/>
          <w:sz w:val="27"/>
          <w:szCs w:val="27"/>
        </w:rPr>
        <w:t xml:space="preserve">«Стандарты управления рисками для негосударственных пенсионных фондов РФ». </w:t>
      </w:r>
      <w:r w:rsidR="003963C1">
        <w:rPr>
          <w:rFonts w:ascii="Times New Roman" w:hAnsi="Times New Roman" w:cs="Times New Roman"/>
          <w:sz w:val="27"/>
          <w:szCs w:val="27"/>
        </w:rPr>
        <w:t>П</w:t>
      </w:r>
      <w:r w:rsidR="00C2398B" w:rsidRPr="000B2F5F">
        <w:rPr>
          <w:rFonts w:ascii="Times New Roman" w:hAnsi="Times New Roman" w:cs="Times New Roman"/>
          <w:sz w:val="27"/>
          <w:szCs w:val="27"/>
        </w:rPr>
        <w:t xml:space="preserve">ервоначальная версия стандартов затрагивала лишь инвестиционные риски и по большей части носила, скорее, справочный характер, описывая основные виды рисков и наиболее распространенные методы идентификации, оценки и управления ими. </w:t>
      </w:r>
      <w:r w:rsidR="003963C1">
        <w:rPr>
          <w:rFonts w:ascii="Times New Roman" w:hAnsi="Times New Roman" w:cs="Times New Roman"/>
          <w:sz w:val="27"/>
          <w:szCs w:val="27"/>
        </w:rPr>
        <w:t xml:space="preserve">В начале июня текущего года </w:t>
      </w:r>
      <w:r w:rsidR="00C2398B" w:rsidRPr="000B2F5F">
        <w:rPr>
          <w:rFonts w:ascii="Times New Roman" w:hAnsi="Times New Roman" w:cs="Times New Roman"/>
          <w:sz w:val="27"/>
          <w:szCs w:val="27"/>
        </w:rPr>
        <w:t>усилиям</w:t>
      </w:r>
      <w:r w:rsidR="003963C1">
        <w:rPr>
          <w:rFonts w:ascii="Times New Roman" w:hAnsi="Times New Roman" w:cs="Times New Roman"/>
          <w:sz w:val="27"/>
          <w:szCs w:val="27"/>
        </w:rPr>
        <w:t>и</w:t>
      </w:r>
      <w:r w:rsidR="00C2398B" w:rsidRPr="000B2F5F">
        <w:rPr>
          <w:rFonts w:ascii="Times New Roman" w:hAnsi="Times New Roman" w:cs="Times New Roman"/>
          <w:sz w:val="27"/>
          <w:szCs w:val="27"/>
        </w:rPr>
        <w:t xml:space="preserve"> рабочей группы НАПФ </w:t>
      </w:r>
      <w:r w:rsidR="003963C1">
        <w:rPr>
          <w:rFonts w:ascii="Times New Roman" w:hAnsi="Times New Roman" w:cs="Times New Roman"/>
          <w:sz w:val="27"/>
          <w:szCs w:val="27"/>
        </w:rPr>
        <w:t>был разработан и утвержден новый</w:t>
      </w:r>
      <w:r w:rsidR="00C2398B" w:rsidRPr="000B2F5F">
        <w:rPr>
          <w:rFonts w:ascii="Times New Roman" w:hAnsi="Times New Roman" w:cs="Times New Roman"/>
          <w:sz w:val="27"/>
          <w:szCs w:val="27"/>
        </w:rPr>
        <w:t xml:space="preserve"> «Стандарт НАПФ по организации </w:t>
      </w:r>
      <w:proofErr w:type="gramStart"/>
      <w:r w:rsidR="00C2398B" w:rsidRPr="000B2F5F">
        <w:rPr>
          <w:rFonts w:ascii="Times New Roman" w:hAnsi="Times New Roman" w:cs="Times New Roman"/>
          <w:sz w:val="27"/>
          <w:szCs w:val="27"/>
        </w:rPr>
        <w:t>риск-менеджмента</w:t>
      </w:r>
      <w:proofErr w:type="gramEnd"/>
      <w:r w:rsidR="00C2398B" w:rsidRPr="000B2F5F">
        <w:rPr>
          <w:rFonts w:ascii="Times New Roman" w:hAnsi="Times New Roman" w:cs="Times New Roman"/>
          <w:sz w:val="27"/>
          <w:szCs w:val="27"/>
        </w:rPr>
        <w:t xml:space="preserve"> в НПФ» СТО НАПФ 5.1-2015. В новой редакции удалось описать уже не только инвестиционные, но практически все виды свойственных для индустрии рисков, включая операционные и актуарные. </w:t>
      </w:r>
      <w:r w:rsidR="00BC5C49" w:rsidRPr="000B2F5F">
        <w:rPr>
          <w:rFonts w:ascii="Times New Roman" w:hAnsi="Times New Roman" w:cs="Times New Roman"/>
          <w:sz w:val="27"/>
          <w:szCs w:val="27"/>
        </w:rPr>
        <w:t xml:space="preserve">Кроме того, в документе теперь представлены более четкие рекомендации по </w:t>
      </w:r>
      <w:r w:rsidR="00BC5C49" w:rsidRPr="000B2F5F">
        <w:rPr>
          <w:rFonts w:ascii="Times New Roman" w:hAnsi="Times New Roman" w:cs="Times New Roman"/>
          <w:sz w:val="27"/>
          <w:szCs w:val="27"/>
        </w:rPr>
        <w:lastRenderedPageBreak/>
        <w:t xml:space="preserve">выстраиванию системы </w:t>
      </w:r>
      <w:proofErr w:type="gramStart"/>
      <w:r w:rsidR="00BC5C49" w:rsidRPr="000B2F5F">
        <w:rPr>
          <w:rFonts w:ascii="Times New Roman" w:hAnsi="Times New Roman" w:cs="Times New Roman"/>
          <w:sz w:val="27"/>
          <w:szCs w:val="27"/>
        </w:rPr>
        <w:t>риск-менеджмента</w:t>
      </w:r>
      <w:proofErr w:type="gramEnd"/>
      <w:r w:rsidR="00BC5C49" w:rsidRPr="000B2F5F">
        <w:rPr>
          <w:rFonts w:ascii="Times New Roman" w:hAnsi="Times New Roman" w:cs="Times New Roman"/>
          <w:sz w:val="27"/>
          <w:szCs w:val="27"/>
        </w:rPr>
        <w:t xml:space="preserve"> в фонде. Эти шаги позволили </w:t>
      </w:r>
      <w:proofErr w:type="spellStart"/>
      <w:r w:rsidR="00BC5C49" w:rsidRPr="000B2F5F">
        <w:rPr>
          <w:rFonts w:ascii="Times New Roman" w:hAnsi="Times New Roman" w:cs="Times New Roman"/>
          <w:sz w:val="27"/>
          <w:szCs w:val="27"/>
        </w:rPr>
        <w:t>профсообществу</w:t>
      </w:r>
      <w:proofErr w:type="spellEnd"/>
      <w:r w:rsidR="00BC5C49" w:rsidRPr="000B2F5F">
        <w:rPr>
          <w:rFonts w:ascii="Times New Roman" w:hAnsi="Times New Roman" w:cs="Times New Roman"/>
          <w:sz w:val="27"/>
          <w:szCs w:val="27"/>
        </w:rPr>
        <w:t xml:space="preserve"> заложить единую платформу для дальнейшего развития </w:t>
      </w:r>
      <w:proofErr w:type="gramStart"/>
      <w:r w:rsidR="00BC5C49" w:rsidRPr="000B2F5F">
        <w:rPr>
          <w:rFonts w:ascii="Times New Roman" w:hAnsi="Times New Roman" w:cs="Times New Roman"/>
          <w:sz w:val="27"/>
          <w:szCs w:val="27"/>
        </w:rPr>
        <w:t>риск-менеджмента</w:t>
      </w:r>
      <w:proofErr w:type="gramEnd"/>
      <w:r w:rsidR="00BC5C49" w:rsidRPr="000B2F5F">
        <w:rPr>
          <w:rFonts w:ascii="Times New Roman" w:hAnsi="Times New Roman" w:cs="Times New Roman"/>
          <w:sz w:val="27"/>
          <w:szCs w:val="27"/>
        </w:rPr>
        <w:t xml:space="preserve"> в индустрии.</w:t>
      </w:r>
    </w:p>
    <w:p w:rsidR="00480A1A" w:rsidRPr="000B2F5F" w:rsidRDefault="003963C1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C0649C" w:rsidRPr="000B2F5F">
        <w:rPr>
          <w:rFonts w:ascii="Times New Roman" w:hAnsi="Times New Roman" w:cs="Times New Roman"/>
          <w:sz w:val="27"/>
          <w:szCs w:val="27"/>
        </w:rPr>
        <w:t xml:space="preserve">даже при условии унификации подходов к оценке рисков остается открытым </w:t>
      </w:r>
      <w:r w:rsidR="004F0DC6" w:rsidRPr="000B2F5F">
        <w:rPr>
          <w:rFonts w:ascii="Times New Roman" w:hAnsi="Times New Roman" w:cs="Times New Roman"/>
          <w:sz w:val="27"/>
          <w:szCs w:val="27"/>
        </w:rPr>
        <w:t xml:space="preserve">вопрос </w:t>
      </w:r>
      <w:r w:rsidR="00C0649C" w:rsidRPr="000B2F5F">
        <w:rPr>
          <w:rFonts w:ascii="Times New Roman" w:hAnsi="Times New Roman" w:cs="Times New Roman"/>
          <w:sz w:val="27"/>
          <w:szCs w:val="27"/>
        </w:rPr>
        <w:t xml:space="preserve">упомянутого </w:t>
      </w:r>
      <w:r w:rsidR="00BC5C49" w:rsidRPr="000B2F5F">
        <w:rPr>
          <w:rFonts w:ascii="Times New Roman" w:hAnsi="Times New Roman" w:cs="Times New Roman"/>
          <w:sz w:val="27"/>
          <w:szCs w:val="27"/>
        </w:rPr>
        <w:t xml:space="preserve">выше </w:t>
      </w:r>
      <w:r w:rsidR="00C0649C" w:rsidRPr="000B2F5F">
        <w:rPr>
          <w:rFonts w:ascii="Times New Roman" w:hAnsi="Times New Roman" w:cs="Times New Roman"/>
          <w:sz w:val="27"/>
          <w:szCs w:val="27"/>
        </w:rPr>
        <w:t xml:space="preserve">соответствия </w:t>
      </w:r>
      <w:r w:rsidR="004F0DC6" w:rsidRPr="000B2F5F">
        <w:rPr>
          <w:rFonts w:ascii="Times New Roman" w:hAnsi="Times New Roman" w:cs="Times New Roman"/>
          <w:sz w:val="27"/>
          <w:szCs w:val="27"/>
        </w:rPr>
        <w:t>доходности</w:t>
      </w:r>
      <w:r w:rsidR="00C0649C" w:rsidRPr="000B2F5F">
        <w:rPr>
          <w:rFonts w:ascii="Times New Roman" w:hAnsi="Times New Roman" w:cs="Times New Roman"/>
          <w:sz w:val="27"/>
          <w:szCs w:val="27"/>
        </w:rPr>
        <w:t xml:space="preserve"> принимаемому риску</w:t>
      </w:r>
      <w:r w:rsidR="004F0DC6" w:rsidRPr="000B2F5F">
        <w:rPr>
          <w:rFonts w:ascii="Times New Roman" w:hAnsi="Times New Roman" w:cs="Times New Roman"/>
          <w:sz w:val="27"/>
          <w:szCs w:val="27"/>
        </w:rPr>
        <w:t>.</w:t>
      </w:r>
      <w:r w:rsidR="00480A1A" w:rsidRPr="000B2F5F">
        <w:rPr>
          <w:rFonts w:ascii="Times New Roman" w:hAnsi="Times New Roman" w:cs="Times New Roman"/>
          <w:sz w:val="27"/>
          <w:szCs w:val="27"/>
        </w:rPr>
        <w:t xml:space="preserve"> </w:t>
      </w:r>
      <w:r w:rsidR="003D7F3D" w:rsidRPr="000B2F5F">
        <w:rPr>
          <w:rFonts w:ascii="Times New Roman" w:hAnsi="Times New Roman" w:cs="Times New Roman"/>
          <w:sz w:val="27"/>
          <w:szCs w:val="27"/>
        </w:rPr>
        <w:t>В рамках рыночной экономики объективным мерилом адекватн</w:t>
      </w:r>
      <w:r w:rsidR="00480A1A" w:rsidRPr="000B2F5F">
        <w:rPr>
          <w:rFonts w:ascii="Times New Roman" w:hAnsi="Times New Roman" w:cs="Times New Roman"/>
          <w:sz w:val="27"/>
          <w:szCs w:val="27"/>
        </w:rPr>
        <w:t>ости</w:t>
      </w:r>
      <w:r w:rsidR="003D7F3D" w:rsidRPr="000B2F5F">
        <w:rPr>
          <w:rFonts w:ascii="Times New Roman" w:hAnsi="Times New Roman" w:cs="Times New Roman"/>
          <w:sz w:val="27"/>
          <w:szCs w:val="27"/>
        </w:rPr>
        <w:t xml:space="preserve"> соотношения риска и доходности </w:t>
      </w:r>
      <w:r w:rsidR="00193801" w:rsidRPr="000B2F5F">
        <w:rPr>
          <w:rFonts w:ascii="Times New Roman" w:hAnsi="Times New Roman" w:cs="Times New Roman"/>
          <w:sz w:val="27"/>
          <w:szCs w:val="27"/>
        </w:rPr>
        <w:t xml:space="preserve">для ценных бумаг </w:t>
      </w:r>
      <w:r w:rsidR="003D7F3D" w:rsidRPr="000B2F5F">
        <w:rPr>
          <w:rFonts w:ascii="Times New Roman" w:hAnsi="Times New Roman" w:cs="Times New Roman"/>
          <w:sz w:val="27"/>
          <w:szCs w:val="27"/>
        </w:rPr>
        <w:t>призван быть фондовый рынок</w:t>
      </w:r>
      <w:r w:rsidR="00193801" w:rsidRPr="000B2F5F">
        <w:rPr>
          <w:rFonts w:ascii="Times New Roman" w:hAnsi="Times New Roman" w:cs="Times New Roman"/>
          <w:sz w:val="27"/>
          <w:szCs w:val="27"/>
        </w:rPr>
        <w:t>, пресловутая «невидимая рука рынка» Адама Смита</w:t>
      </w:r>
      <w:r w:rsidR="003D7F3D" w:rsidRPr="000B2F5F">
        <w:rPr>
          <w:rFonts w:ascii="Times New Roman" w:hAnsi="Times New Roman" w:cs="Times New Roman"/>
          <w:sz w:val="27"/>
          <w:szCs w:val="27"/>
        </w:rPr>
        <w:t xml:space="preserve">. </w:t>
      </w:r>
      <w:r w:rsidR="00C0649C" w:rsidRPr="000B2F5F">
        <w:rPr>
          <w:rFonts w:ascii="Times New Roman" w:hAnsi="Times New Roman" w:cs="Times New Roman"/>
          <w:sz w:val="27"/>
          <w:szCs w:val="27"/>
        </w:rPr>
        <w:t>Аналогичным образом на конкурентном банковском рынке ставка депозита должна быть тем самым итоговым показателем, учитывающим все принимаемые риски, начиная от существенных условий договора, заканчивая кредитным качеством банка.</w:t>
      </w:r>
    </w:p>
    <w:p w:rsidR="00727887" w:rsidRDefault="003D7F3D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F5F">
        <w:rPr>
          <w:rFonts w:ascii="Times New Roman" w:hAnsi="Times New Roman" w:cs="Times New Roman"/>
          <w:sz w:val="27"/>
          <w:szCs w:val="27"/>
        </w:rPr>
        <w:t xml:space="preserve">С одной стороны, как бы парадоксально это не звучало, но не всегда для институционального инвестора локальный фондовый </w:t>
      </w:r>
      <w:r w:rsidR="008A4716" w:rsidRPr="000B2F5F">
        <w:rPr>
          <w:rFonts w:ascii="Times New Roman" w:hAnsi="Times New Roman" w:cs="Times New Roman"/>
          <w:sz w:val="27"/>
          <w:szCs w:val="27"/>
        </w:rPr>
        <w:t xml:space="preserve">(и вообще финансовый) </w:t>
      </w:r>
      <w:r w:rsidRPr="000B2F5F">
        <w:rPr>
          <w:rFonts w:ascii="Times New Roman" w:hAnsi="Times New Roman" w:cs="Times New Roman"/>
          <w:sz w:val="27"/>
          <w:szCs w:val="27"/>
        </w:rPr>
        <w:t xml:space="preserve">рынок является тем </w:t>
      </w:r>
      <w:proofErr w:type="spellStart"/>
      <w:r w:rsidRPr="000B2F5F">
        <w:rPr>
          <w:rFonts w:ascii="Times New Roman" w:hAnsi="Times New Roman" w:cs="Times New Roman"/>
          <w:sz w:val="27"/>
          <w:szCs w:val="27"/>
        </w:rPr>
        <w:t>sine</w:t>
      </w:r>
      <w:proofErr w:type="spellEnd"/>
      <w:r w:rsidRPr="000B2F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B2F5F">
        <w:rPr>
          <w:rFonts w:ascii="Times New Roman" w:hAnsi="Times New Roman" w:cs="Times New Roman"/>
          <w:sz w:val="27"/>
          <w:szCs w:val="27"/>
        </w:rPr>
        <w:t>qua</w:t>
      </w:r>
      <w:proofErr w:type="spellEnd"/>
      <w:r w:rsidRPr="000B2F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B2F5F">
        <w:rPr>
          <w:rFonts w:ascii="Times New Roman" w:hAnsi="Times New Roman" w:cs="Times New Roman"/>
          <w:sz w:val="27"/>
          <w:szCs w:val="27"/>
        </w:rPr>
        <w:t>non</w:t>
      </w:r>
      <w:proofErr w:type="spellEnd"/>
      <w:r w:rsidRPr="000B2F5F">
        <w:rPr>
          <w:rFonts w:ascii="Times New Roman" w:hAnsi="Times New Roman" w:cs="Times New Roman"/>
          <w:sz w:val="27"/>
          <w:szCs w:val="27"/>
        </w:rPr>
        <w:t xml:space="preserve">, без которого невозможна </w:t>
      </w:r>
      <w:r w:rsidR="008A4716" w:rsidRPr="000B2F5F">
        <w:rPr>
          <w:rFonts w:ascii="Times New Roman" w:hAnsi="Times New Roman" w:cs="Times New Roman"/>
          <w:sz w:val="27"/>
          <w:szCs w:val="27"/>
        </w:rPr>
        <w:t xml:space="preserve">эффективная </w:t>
      </w:r>
      <w:r w:rsidRPr="000B2F5F">
        <w:rPr>
          <w:rFonts w:ascii="Times New Roman" w:hAnsi="Times New Roman" w:cs="Times New Roman"/>
          <w:sz w:val="27"/>
          <w:szCs w:val="27"/>
        </w:rPr>
        <w:t xml:space="preserve">инвестиционная деятельность. Ведь </w:t>
      </w:r>
      <w:r w:rsidR="00821663" w:rsidRPr="000B2F5F">
        <w:rPr>
          <w:rFonts w:ascii="Times New Roman" w:hAnsi="Times New Roman" w:cs="Times New Roman"/>
          <w:sz w:val="27"/>
          <w:szCs w:val="27"/>
        </w:rPr>
        <w:t>в рамках инвестиционных возможностей (</w:t>
      </w:r>
      <w:r w:rsidR="00821663" w:rsidRPr="000B2F5F">
        <w:rPr>
          <w:rFonts w:ascii="Times New Roman" w:hAnsi="Times New Roman" w:cs="Times New Roman"/>
          <w:sz w:val="27"/>
          <w:szCs w:val="27"/>
          <w:lang w:val="en-US"/>
        </w:rPr>
        <w:t>investment</w:t>
      </w:r>
      <w:r w:rsidR="00821663" w:rsidRPr="000B2F5F">
        <w:rPr>
          <w:rFonts w:ascii="Times New Roman" w:hAnsi="Times New Roman" w:cs="Times New Roman"/>
          <w:sz w:val="27"/>
          <w:szCs w:val="27"/>
        </w:rPr>
        <w:t xml:space="preserve"> </w:t>
      </w:r>
      <w:r w:rsidR="00821663" w:rsidRPr="000B2F5F">
        <w:rPr>
          <w:rFonts w:ascii="Times New Roman" w:hAnsi="Times New Roman" w:cs="Times New Roman"/>
          <w:sz w:val="27"/>
          <w:szCs w:val="27"/>
          <w:lang w:val="en-US"/>
        </w:rPr>
        <w:t>universe</w:t>
      </w:r>
      <w:r w:rsidR="00821663" w:rsidRPr="000B2F5F">
        <w:rPr>
          <w:rFonts w:ascii="Times New Roman" w:hAnsi="Times New Roman" w:cs="Times New Roman"/>
          <w:sz w:val="27"/>
          <w:szCs w:val="27"/>
        </w:rPr>
        <w:t xml:space="preserve">) </w:t>
      </w:r>
      <w:r w:rsidRPr="000B2F5F">
        <w:rPr>
          <w:rFonts w:ascii="Times New Roman" w:hAnsi="Times New Roman" w:cs="Times New Roman"/>
          <w:sz w:val="27"/>
          <w:szCs w:val="27"/>
        </w:rPr>
        <w:t xml:space="preserve">существует ряд альтернатив, которые необязательно в явном виде привязаны к нему. Это могут быть и внебиржевые инструменты денежного рынка, самым </w:t>
      </w:r>
      <w:r w:rsidR="003963C1">
        <w:rPr>
          <w:rFonts w:ascii="Times New Roman" w:hAnsi="Times New Roman" w:cs="Times New Roman"/>
          <w:sz w:val="27"/>
          <w:szCs w:val="27"/>
        </w:rPr>
        <w:t>характерным</w:t>
      </w:r>
      <w:r w:rsidRPr="000B2F5F">
        <w:rPr>
          <w:rFonts w:ascii="Times New Roman" w:hAnsi="Times New Roman" w:cs="Times New Roman"/>
          <w:sz w:val="27"/>
          <w:szCs w:val="27"/>
        </w:rPr>
        <w:t xml:space="preserve"> примером которых являются банковские депозиты</w:t>
      </w:r>
      <w:r w:rsidR="00821663" w:rsidRPr="000B2F5F">
        <w:rPr>
          <w:rFonts w:ascii="Times New Roman" w:hAnsi="Times New Roman" w:cs="Times New Roman"/>
          <w:sz w:val="27"/>
          <w:szCs w:val="27"/>
        </w:rPr>
        <w:t>.</w:t>
      </w:r>
      <w:r w:rsidRPr="000B2F5F">
        <w:rPr>
          <w:rFonts w:ascii="Times New Roman" w:hAnsi="Times New Roman" w:cs="Times New Roman"/>
          <w:sz w:val="27"/>
          <w:szCs w:val="27"/>
        </w:rPr>
        <w:t xml:space="preserve"> </w:t>
      </w:r>
      <w:r w:rsidR="003963C1">
        <w:rPr>
          <w:rFonts w:ascii="Times New Roman" w:hAnsi="Times New Roman" w:cs="Times New Roman"/>
          <w:sz w:val="27"/>
          <w:szCs w:val="27"/>
        </w:rPr>
        <w:t xml:space="preserve">Может </w:t>
      </w:r>
      <w:proofErr w:type="gramStart"/>
      <w:r w:rsidR="003963C1">
        <w:rPr>
          <w:rFonts w:ascii="Times New Roman" w:hAnsi="Times New Roman" w:cs="Times New Roman"/>
          <w:sz w:val="27"/>
          <w:szCs w:val="27"/>
        </w:rPr>
        <w:t>быть</w:t>
      </w:r>
      <w:bookmarkStart w:id="0" w:name="_GoBack"/>
      <w:bookmarkEnd w:id="0"/>
      <w:proofErr w:type="gramEnd"/>
      <w:r w:rsidR="00821663" w:rsidRPr="000B2F5F">
        <w:rPr>
          <w:rFonts w:ascii="Times New Roman" w:hAnsi="Times New Roman" w:cs="Times New Roman"/>
          <w:sz w:val="27"/>
          <w:szCs w:val="27"/>
        </w:rPr>
        <w:t xml:space="preserve"> </w:t>
      </w:r>
      <w:r w:rsidRPr="000B2F5F">
        <w:rPr>
          <w:rFonts w:ascii="Times New Roman" w:hAnsi="Times New Roman" w:cs="Times New Roman"/>
          <w:sz w:val="27"/>
          <w:szCs w:val="27"/>
        </w:rPr>
        <w:t xml:space="preserve">первичное обращение </w:t>
      </w:r>
      <w:r w:rsidR="00821663" w:rsidRPr="000B2F5F">
        <w:rPr>
          <w:rFonts w:ascii="Times New Roman" w:hAnsi="Times New Roman" w:cs="Times New Roman"/>
          <w:sz w:val="27"/>
          <w:szCs w:val="27"/>
        </w:rPr>
        <w:t xml:space="preserve">бумаг инвестиционных фондов, включая взаимные фонды (или в российской практике – паевые инвестиционные фонды), хедж-фонды, </w:t>
      </w:r>
      <w:r w:rsidR="00821663" w:rsidRPr="000B2F5F">
        <w:rPr>
          <w:rFonts w:ascii="Times New Roman" w:hAnsi="Times New Roman" w:cs="Times New Roman"/>
          <w:sz w:val="27"/>
          <w:szCs w:val="27"/>
          <w:lang w:val="en-US"/>
        </w:rPr>
        <w:t>ETF</w:t>
      </w:r>
      <w:r w:rsidR="00821663" w:rsidRPr="000B2F5F">
        <w:rPr>
          <w:rFonts w:ascii="Times New Roman" w:hAnsi="Times New Roman" w:cs="Times New Roman"/>
          <w:sz w:val="27"/>
          <w:szCs w:val="27"/>
        </w:rPr>
        <w:t xml:space="preserve">, которые сами по себе являясь в определенном смысле «транзитными» институтами, открывают доступ практически к любым видам инвестиций по всему миру, начиная от прямых инвестиций, заканчивая сложными комбинациями производных инструментов. </w:t>
      </w:r>
      <w:r w:rsidR="00361ADD" w:rsidRPr="000B2F5F">
        <w:rPr>
          <w:rFonts w:ascii="Times New Roman" w:hAnsi="Times New Roman" w:cs="Times New Roman"/>
          <w:sz w:val="27"/>
          <w:szCs w:val="27"/>
        </w:rPr>
        <w:t xml:space="preserve">В конце концов, когда локальный рынок не может обеспечить нужды инвестора, всегда есть возможность пойти на другие рынки. </w:t>
      </w:r>
      <w:r w:rsidR="00727887" w:rsidRPr="000B2F5F">
        <w:rPr>
          <w:rFonts w:ascii="Times New Roman" w:hAnsi="Times New Roman" w:cs="Times New Roman"/>
          <w:sz w:val="27"/>
          <w:szCs w:val="27"/>
        </w:rPr>
        <w:t>Примеров успешного инвестирования значительной доли пенсионных средств в иностранные</w:t>
      </w:r>
      <w:r w:rsidR="00A74064" w:rsidRPr="000B2F5F">
        <w:rPr>
          <w:rFonts w:ascii="Times New Roman" w:hAnsi="Times New Roman" w:cs="Times New Roman"/>
          <w:sz w:val="27"/>
          <w:szCs w:val="27"/>
        </w:rPr>
        <w:t xml:space="preserve"> ценные бумаги достаточно много, причем согласно специальному исследованию ОЭСР эмпирические данные подтвердили теоретические предположения о том, что </w:t>
      </w:r>
      <w:proofErr w:type="spellStart"/>
      <w:r w:rsidR="00A74064" w:rsidRPr="000B2F5F">
        <w:rPr>
          <w:rFonts w:ascii="Times New Roman" w:hAnsi="Times New Roman" w:cs="Times New Roman"/>
          <w:sz w:val="27"/>
          <w:szCs w:val="27"/>
        </w:rPr>
        <w:t>страновая</w:t>
      </w:r>
      <w:proofErr w:type="spellEnd"/>
      <w:r w:rsidR="00A74064" w:rsidRPr="000B2F5F">
        <w:rPr>
          <w:rFonts w:ascii="Times New Roman" w:hAnsi="Times New Roman" w:cs="Times New Roman"/>
          <w:sz w:val="27"/>
          <w:szCs w:val="27"/>
        </w:rPr>
        <w:t xml:space="preserve"> диверсификация позволяет существенно снизить несистематические </w:t>
      </w:r>
      <w:r w:rsidR="007979B3" w:rsidRPr="000B2F5F">
        <w:rPr>
          <w:rFonts w:ascii="Times New Roman" w:hAnsi="Times New Roman" w:cs="Times New Roman"/>
          <w:sz w:val="27"/>
          <w:szCs w:val="27"/>
        </w:rPr>
        <w:t xml:space="preserve">инвестиционные </w:t>
      </w:r>
      <w:r w:rsidR="00A74064" w:rsidRPr="000B2F5F">
        <w:rPr>
          <w:rFonts w:ascii="Times New Roman" w:hAnsi="Times New Roman" w:cs="Times New Roman"/>
          <w:sz w:val="27"/>
          <w:szCs w:val="27"/>
        </w:rPr>
        <w:t>риски.</w:t>
      </w:r>
    </w:p>
    <w:p w:rsidR="000B2F5F" w:rsidRDefault="000B2F5F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2F5F" w:rsidRDefault="000B2F5F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2F5F" w:rsidRPr="000B2F5F" w:rsidRDefault="000B2F5F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802A4" w:rsidRPr="00FF4CDD" w:rsidRDefault="00C802A4" w:rsidP="00C80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F4CDD">
        <w:rPr>
          <w:rFonts w:ascii="Times New Roman" w:hAnsi="Times New Roman" w:cs="Times New Roman"/>
          <w:b/>
          <w:sz w:val="24"/>
        </w:rPr>
        <w:t>Иностранные инвестиции пенсионных фондов из ряда стран ОЭСР, 2013</w:t>
      </w:r>
    </w:p>
    <w:p w:rsidR="00C802A4" w:rsidRPr="00FF4CDD" w:rsidRDefault="00C802A4" w:rsidP="007979B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FF4CDD">
        <w:rPr>
          <w:rFonts w:ascii="Times New Roman" w:hAnsi="Times New Roman" w:cs="Times New Roman"/>
          <w:sz w:val="24"/>
        </w:rPr>
        <w:t>в</w:t>
      </w:r>
      <w:proofErr w:type="gramEnd"/>
      <w:r w:rsidRPr="00FF4CDD">
        <w:rPr>
          <w:rFonts w:ascii="Times New Roman" w:hAnsi="Times New Roman" w:cs="Times New Roman"/>
          <w:sz w:val="24"/>
        </w:rPr>
        <w:t xml:space="preserve"> % от общего объема инвестиций</w:t>
      </w:r>
    </w:p>
    <w:p w:rsidR="00727887" w:rsidRPr="00FF4CDD" w:rsidRDefault="007979B3" w:rsidP="007979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4CD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9723711" wp14:editId="1DB76177">
            <wp:extent cx="5940425" cy="3889571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4064" w:rsidRPr="00FF4CDD" w:rsidRDefault="00A74064" w:rsidP="00A74064">
      <w:pPr>
        <w:jc w:val="right"/>
        <w:rPr>
          <w:rFonts w:ascii="Times New Roman" w:hAnsi="Times New Roman" w:cs="Times New Roman"/>
          <w:sz w:val="24"/>
          <w:lang w:val="en-US"/>
        </w:rPr>
      </w:pPr>
      <w:r w:rsidRPr="00FF4CDD">
        <w:rPr>
          <w:rFonts w:ascii="Times New Roman" w:hAnsi="Times New Roman" w:cs="Times New Roman"/>
          <w:sz w:val="24"/>
        </w:rPr>
        <w:t>Источник</w:t>
      </w:r>
      <w:r w:rsidRPr="00FF4CDD">
        <w:rPr>
          <w:rFonts w:ascii="Times New Roman" w:hAnsi="Times New Roman" w:cs="Times New Roman"/>
          <w:sz w:val="24"/>
          <w:lang w:val="en-US"/>
        </w:rPr>
        <w:t xml:space="preserve">: </w:t>
      </w:r>
      <w:r w:rsidRPr="00FF4CDD">
        <w:rPr>
          <w:rFonts w:ascii="Times New Roman" w:hAnsi="Times New Roman" w:cs="Times New Roman"/>
          <w:sz w:val="24"/>
        </w:rPr>
        <w:t>ОЭСР</w:t>
      </w:r>
      <w:r w:rsidRPr="00FF4CDD">
        <w:rPr>
          <w:rFonts w:ascii="Times New Roman" w:hAnsi="Times New Roman" w:cs="Times New Roman"/>
          <w:sz w:val="24"/>
          <w:lang w:val="en-US"/>
        </w:rPr>
        <w:t xml:space="preserve"> «Pension Markets in Focus» 2014</w:t>
      </w:r>
    </w:p>
    <w:p w:rsidR="00A35655" w:rsidRDefault="00A35655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F5F">
        <w:rPr>
          <w:rFonts w:ascii="Times New Roman" w:hAnsi="Times New Roman" w:cs="Times New Roman"/>
          <w:sz w:val="27"/>
          <w:szCs w:val="27"/>
        </w:rPr>
        <w:t xml:space="preserve">Стимулом для </w:t>
      </w:r>
      <w:proofErr w:type="spellStart"/>
      <w:r w:rsidRPr="000B2F5F">
        <w:rPr>
          <w:rFonts w:ascii="Times New Roman" w:hAnsi="Times New Roman" w:cs="Times New Roman"/>
          <w:sz w:val="27"/>
          <w:szCs w:val="27"/>
        </w:rPr>
        <w:t>перетока</w:t>
      </w:r>
      <w:proofErr w:type="spellEnd"/>
      <w:r w:rsidRPr="000B2F5F">
        <w:rPr>
          <w:rFonts w:ascii="Times New Roman" w:hAnsi="Times New Roman" w:cs="Times New Roman"/>
          <w:sz w:val="27"/>
          <w:szCs w:val="27"/>
        </w:rPr>
        <w:t xml:space="preserve"> активов в портфелях пенсионных фондов из акций и облигаций в другие инструменты, подавляющая часть которых имеет низкую корреляцию с фондовым рынком, могут служить разные факторы, некоторые из которых имеют специфическую для отдельной страны природу. Но основными факторами являются, очевидно, недостаточно высокая доходность или ликвидность фондового рынка, </w:t>
      </w:r>
      <w:r w:rsidR="00811D22" w:rsidRPr="000B2F5F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0B2F5F">
        <w:rPr>
          <w:rFonts w:ascii="Times New Roman" w:hAnsi="Times New Roman" w:cs="Times New Roman"/>
          <w:sz w:val="27"/>
          <w:szCs w:val="27"/>
        </w:rPr>
        <w:t xml:space="preserve">его высокая волатильность, в том числе относительно </w:t>
      </w:r>
      <w:r w:rsidR="00811D22" w:rsidRPr="000B2F5F">
        <w:rPr>
          <w:rFonts w:ascii="Times New Roman" w:hAnsi="Times New Roman" w:cs="Times New Roman"/>
          <w:sz w:val="27"/>
          <w:szCs w:val="27"/>
        </w:rPr>
        <w:t xml:space="preserve">структуры пассивов фонда. Или, говоря иными словами, «несоответствие доходности уровню принимаемого риска». Если проанализировать </w:t>
      </w:r>
      <w:proofErr w:type="spellStart"/>
      <w:r w:rsidR="00811D22" w:rsidRPr="000B2F5F">
        <w:rPr>
          <w:rFonts w:ascii="Times New Roman" w:hAnsi="Times New Roman" w:cs="Times New Roman"/>
          <w:sz w:val="27"/>
          <w:szCs w:val="27"/>
        </w:rPr>
        <w:t>аллокацию</w:t>
      </w:r>
      <w:proofErr w:type="spellEnd"/>
      <w:r w:rsidR="00811D22" w:rsidRPr="000B2F5F">
        <w:rPr>
          <w:rFonts w:ascii="Times New Roman" w:hAnsi="Times New Roman" w:cs="Times New Roman"/>
          <w:sz w:val="27"/>
          <w:szCs w:val="27"/>
        </w:rPr>
        <w:t xml:space="preserve"> пенсионных фондов по видам активов, представленную в том же обзоре ОЭСР, то видно, что во многих странах доля «других» инструментов (т.е. не акций и облигаций), даже с учетом их возможности </w:t>
      </w:r>
      <w:proofErr w:type="spellStart"/>
      <w:r w:rsidR="00811D22" w:rsidRPr="000B2F5F">
        <w:rPr>
          <w:rFonts w:ascii="Times New Roman" w:hAnsi="Times New Roman" w:cs="Times New Roman"/>
          <w:sz w:val="27"/>
          <w:szCs w:val="27"/>
        </w:rPr>
        <w:t>страновой</w:t>
      </w:r>
      <w:proofErr w:type="spellEnd"/>
      <w:r w:rsidR="00811D22" w:rsidRPr="000B2F5F">
        <w:rPr>
          <w:rFonts w:ascii="Times New Roman" w:hAnsi="Times New Roman" w:cs="Times New Roman"/>
          <w:sz w:val="27"/>
          <w:szCs w:val="27"/>
        </w:rPr>
        <w:t xml:space="preserve"> диверсификации, составляет значительную часть инвестиционных портфелей:</w:t>
      </w:r>
    </w:p>
    <w:p w:rsidR="000B2F5F" w:rsidRDefault="000B2F5F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2F5F" w:rsidRDefault="000B2F5F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</w:p>
    <w:p w:rsidR="000B2F5F" w:rsidRPr="000B2F5F" w:rsidRDefault="000B2F5F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1D22" w:rsidRPr="00FF4CDD" w:rsidRDefault="00811D22" w:rsidP="00811D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F4CDD">
        <w:rPr>
          <w:rFonts w:ascii="Times New Roman" w:hAnsi="Times New Roman" w:cs="Times New Roman"/>
          <w:b/>
          <w:sz w:val="24"/>
        </w:rPr>
        <w:t>Инвестиции пенсионных фондов ряда стран, кроме инвестиций в акции и облигации, 2013</w:t>
      </w:r>
    </w:p>
    <w:p w:rsidR="00811D22" w:rsidRPr="00FF4CDD" w:rsidRDefault="00811D22" w:rsidP="00811D22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FF4CDD">
        <w:rPr>
          <w:rFonts w:ascii="Times New Roman" w:hAnsi="Times New Roman" w:cs="Times New Roman"/>
          <w:sz w:val="24"/>
        </w:rPr>
        <w:t>в</w:t>
      </w:r>
      <w:proofErr w:type="gramEnd"/>
      <w:r w:rsidRPr="00FF4CDD">
        <w:rPr>
          <w:rFonts w:ascii="Times New Roman" w:hAnsi="Times New Roman" w:cs="Times New Roman"/>
          <w:sz w:val="24"/>
        </w:rPr>
        <w:t xml:space="preserve"> % от общего объема инвестиций</w:t>
      </w:r>
    </w:p>
    <w:p w:rsidR="00811D22" w:rsidRPr="00FF4CDD" w:rsidRDefault="00811D22" w:rsidP="00811D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FF4CD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F22E75A" wp14:editId="1912285C">
            <wp:extent cx="5940425" cy="3893250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F4CDD">
        <w:rPr>
          <w:rFonts w:ascii="Times New Roman" w:hAnsi="Times New Roman" w:cs="Times New Roman"/>
          <w:sz w:val="24"/>
        </w:rPr>
        <w:t>Источник: ОЭСР «</w:t>
      </w:r>
      <w:r w:rsidRPr="00FF4CDD">
        <w:rPr>
          <w:rFonts w:ascii="Times New Roman" w:hAnsi="Times New Roman" w:cs="Times New Roman"/>
          <w:sz w:val="24"/>
          <w:lang w:val="en-US"/>
        </w:rPr>
        <w:t>Pension</w:t>
      </w:r>
      <w:r w:rsidRPr="00FF4CDD">
        <w:rPr>
          <w:rFonts w:ascii="Times New Roman" w:hAnsi="Times New Roman" w:cs="Times New Roman"/>
          <w:sz w:val="24"/>
        </w:rPr>
        <w:t xml:space="preserve"> </w:t>
      </w:r>
      <w:r w:rsidRPr="00FF4CDD">
        <w:rPr>
          <w:rFonts w:ascii="Times New Roman" w:hAnsi="Times New Roman" w:cs="Times New Roman"/>
          <w:sz w:val="24"/>
          <w:lang w:val="en-US"/>
        </w:rPr>
        <w:t>Markets</w:t>
      </w:r>
      <w:r w:rsidRPr="00FF4CDD">
        <w:rPr>
          <w:rFonts w:ascii="Times New Roman" w:hAnsi="Times New Roman" w:cs="Times New Roman"/>
          <w:sz w:val="24"/>
        </w:rPr>
        <w:t xml:space="preserve"> </w:t>
      </w:r>
      <w:r w:rsidRPr="00FF4CDD">
        <w:rPr>
          <w:rFonts w:ascii="Times New Roman" w:hAnsi="Times New Roman" w:cs="Times New Roman"/>
          <w:sz w:val="24"/>
          <w:lang w:val="en-US"/>
        </w:rPr>
        <w:t>in</w:t>
      </w:r>
      <w:r w:rsidRPr="00FF4CDD">
        <w:rPr>
          <w:rFonts w:ascii="Times New Roman" w:hAnsi="Times New Roman" w:cs="Times New Roman"/>
          <w:sz w:val="24"/>
        </w:rPr>
        <w:t xml:space="preserve"> </w:t>
      </w:r>
      <w:r w:rsidRPr="00FF4CDD">
        <w:rPr>
          <w:rFonts w:ascii="Times New Roman" w:hAnsi="Times New Roman" w:cs="Times New Roman"/>
          <w:sz w:val="24"/>
          <w:lang w:val="en-US"/>
        </w:rPr>
        <w:t>Focus</w:t>
      </w:r>
      <w:r w:rsidRPr="00FF4CDD">
        <w:rPr>
          <w:rFonts w:ascii="Times New Roman" w:hAnsi="Times New Roman" w:cs="Times New Roman"/>
          <w:sz w:val="24"/>
        </w:rPr>
        <w:t>» 2014, расчеты автора</w:t>
      </w:r>
    </w:p>
    <w:p w:rsidR="00811D22" w:rsidRDefault="00811D22" w:rsidP="00811D22">
      <w:pPr>
        <w:jc w:val="right"/>
        <w:rPr>
          <w:rFonts w:ascii="Times New Roman" w:hAnsi="Times New Roman" w:cs="Times New Roman"/>
          <w:sz w:val="24"/>
        </w:rPr>
      </w:pPr>
      <w:r w:rsidRPr="00FF4CDD">
        <w:rPr>
          <w:rFonts w:ascii="Times New Roman" w:hAnsi="Times New Roman" w:cs="Times New Roman"/>
          <w:sz w:val="24"/>
        </w:rPr>
        <w:t>Примечание: по ряду стран информация дана за 2012 год, др. примечания см. источник</w:t>
      </w:r>
    </w:p>
    <w:p w:rsidR="000B2F5F" w:rsidRPr="00FF4CDD" w:rsidRDefault="000B2F5F" w:rsidP="00811D22">
      <w:pPr>
        <w:jc w:val="right"/>
        <w:rPr>
          <w:rFonts w:ascii="Times New Roman" w:hAnsi="Times New Roman" w:cs="Times New Roman"/>
          <w:sz w:val="24"/>
        </w:rPr>
      </w:pPr>
    </w:p>
    <w:p w:rsidR="00480A1A" w:rsidRPr="000B2F5F" w:rsidRDefault="00605944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F5F">
        <w:rPr>
          <w:rFonts w:ascii="Times New Roman" w:hAnsi="Times New Roman" w:cs="Times New Roman"/>
          <w:sz w:val="27"/>
          <w:szCs w:val="27"/>
        </w:rPr>
        <w:t>Эт</w:t>
      </w:r>
      <w:r w:rsidR="00811D22" w:rsidRPr="000B2F5F">
        <w:rPr>
          <w:rFonts w:ascii="Times New Roman" w:hAnsi="Times New Roman" w:cs="Times New Roman"/>
          <w:sz w:val="27"/>
          <w:szCs w:val="27"/>
        </w:rPr>
        <w:t xml:space="preserve">ими же факторами </w:t>
      </w:r>
      <w:r w:rsidRPr="000B2F5F">
        <w:rPr>
          <w:rFonts w:ascii="Times New Roman" w:hAnsi="Times New Roman" w:cs="Times New Roman"/>
          <w:sz w:val="27"/>
          <w:szCs w:val="27"/>
        </w:rPr>
        <w:t>во многом объясняет</w:t>
      </w:r>
      <w:r w:rsidR="00811D22" w:rsidRPr="000B2F5F">
        <w:rPr>
          <w:rFonts w:ascii="Times New Roman" w:hAnsi="Times New Roman" w:cs="Times New Roman"/>
          <w:sz w:val="27"/>
          <w:szCs w:val="27"/>
        </w:rPr>
        <w:t>ся и</w:t>
      </w:r>
      <w:r w:rsidRPr="000B2F5F">
        <w:rPr>
          <w:rFonts w:ascii="Times New Roman" w:hAnsi="Times New Roman" w:cs="Times New Roman"/>
          <w:sz w:val="27"/>
          <w:szCs w:val="27"/>
        </w:rPr>
        <w:t xml:space="preserve"> </w:t>
      </w:r>
      <w:r w:rsidR="00675655" w:rsidRPr="000B2F5F">
        <w:rPr>
          <w:rFonts w:ascii="Times New Roman" w:hAnsi="Times New Roman" w:cs="Times New Roman"/>
          <w:sz w:val="27"/>
          <w:szCs w:val="27"/>
        </w:rPr>
        <w:t>относительно высокая</w:t>
      </w:r>
      <w:r w:rsidRPr="000B2F5F">
        <w:rPr>
          <w:rFonts w:ascii="Times New Roman" w:hAnsi="Times New Roman" w:cs="Times New Roman"/>
          <w:sz w:val="27"/>
          <w:szCs w:val="27"/>
        </w:rPr>
        <w:t xml:space="preserve"> в структуре портфелей </w:t>
      </w:r>
      <w:r w:rsidR="00811D22" w:rsidRPr="000B2F5F">
        <w:rPr>
          <w:rFonts w:ascii="Times New Roman" w:hAnsi="Times New Roman" w:cs="Times New Roman"/>
          <w:sz w:val="27"/>
          <w:szCs w:val="27"/>
        </w:rPr>
        <w:t xml:space="preserve">российских </w:t>
      </w:r>
      <w:r w:rsidRPr="000B2F5F">
        <w:rPr>
          <w:rFonts w:ascii="Times New Roman" w:hAnsi="Times New Roman" w:cs="Times New Roman"/>
          <w:sz w:val="27"/>
          <w:szCs w:val="27"/>
        </w:rPr>
        <w:t>НПФ дол</w:t>
      </w:r>
      <w:r w:rsidR="00675655" w:rsidRPr="000B2F5F">
        <w:rPr>
          <w:rFonts w:ascii="Times New Roman" w:hAnsi="Times New Roman" w:cs="Times New Roman"/>
          <w:sz w:val="27"/>
          <w:szCs w:val="27"/>
        </w:rPr>
        <w:t>я</w:t>
      </w:r>
      <w:r w:rsidRPr="000B2F5F">
        <w:rPr>
          <w:rFonts w:ascii="Times New Roman" w:hAnsi="Times New Roman" w:cs="Times New Roman"/>
          <w:sz w:val="27"/>
          <w:szCs w:val="27"/>
        </w:rPr>
        <w:t xml:space="preserve"> активов, напрямую не связанных, либо ограниченно связанных с фондовым рынком.</w:t>
      </w:r>
      <w:r w:rsidR="00675655" w:rsidRPr="000B2F5F">
        <w:rPr>
          <w:rFonts w:ascii="Times New Roman" w:hAnsi="Times New Roman" w:cs="Times New Roman"/>
          <w:sz w:val="27"/>
          <w:szCs w:val="27"/>
        </w:rPr>
        <w:t xml:space="preserve"> Для сравнения с данными ОЭСР по данным ЦБ России доля инвестиций российских НПФ в активы помимо акций и облигаций </w:t>
      </w:r>
      <w:proofErr w:type="gramStart"/>
      <w:r w:rsidR="00675655" w:rsidRPr="000B2F5F">
        <w:rPr>
          <w:rFonts w:ascii="Times New Roman" w:hAnsi="Times New Roman" w:cs="Times New Roman"/>
          <w:sz w:val="27"/>
          <w:szCs w:val="27"/>
        </w:rPr>
        <w:t>на конец</w:t>
      </w:r>
      <w:proofErr w:type="gramEnd"/>
      <w:r w:rsidR="00675655" w:rsidRPr="000B2F5F">
        <w:rPr>
          <w:rFonts w:ascii="Times New Roman" w:hAnsi="Times New Roman" w:cs="Times New Roman"/>
          <w:sz w:val="27"/>
          <w:szCs w:val="27"/>
        </w:rPr>
        <w:t xml:space="preserve"> 2014 года составила 38,6%, из них доля депозитов – более 31%.</w:t>
      </w:r>
      <w:r w:rsidRPr="000B2F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1FC5" w:rsidRDefault="00480A1A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F5F">
        <w:rPr>
          <w:rFonts w:ascii="Times New Roman" w:hAnsi="Times New Roman" w:cs="Times New Roman"/>
          <w:sz w:val="27"/>
          <w:szCs w:val="27"/>
        </w:rPr>
        <w:t xml:space="preserve">С другой стороны, что может лучше определить уровни спроса и предложения, чем сами спрос и предложение? </w:t>
      </w:r>
      <w:r w:rsidR="00761FC5" w:rsidRPr="000B2F5F">
        <w:rPr>
          <w:rFonts w:ascii="Times New Roman" w:hAnsi="Times New Roman" w:cs="Times New Roman"/>
          <w:sz w:val="27"/>
          <w:szCs w:val="27"/>
        </w:rPr>
        <w:t xml:space="preserve">Весь вопрос в размерах и доступности этого спроса и предложения. Санкции, отток капитала, слабая конкурентоспособность экономики, зависимость от цен на сырье, падающих на фоне замедления мировой экономики – эти факторы сдерживают приток иностранного капитала на фондовый рынок последние годы. </w:t>
      </w:r>
      <w:proofErr w:type="gramStart"/>
      <w:r w:rsidR="00761FC5" w:rsidRPr="000B2F5F">
        <w:rPr>
          <w:rFonts w:ascii="Times New Roman" w:hAnsi="Times New Roman" w:cs="Times New Roman"/>
          <w:sz w:val="27"/>
          <w:szCs w:val="27"/>
        </w:rPr>
        <w:t xml:space="preserve">Вместе с тем практически не добавляют ликвидности рынку и крупные </w:t>
      </w:r>
      <w:proofErr w:type="spellStart"/>
      <w:r w:rsidR="00761FC5" w:rsidRPr="000B2F5F">
        <w:rPr>
          <w:rFonts w:ascii="Times New Roman" w:hAnsi="Times New Roman" w:cs="Times New Roman"/>
          <w:sz w:val="27"/>
          <w:szCs w:val="27"/>
        </w:rPr>
        <w:t>макрофонды</w:t>
      </w:r>
      <w:proofErr w:type="spellEnd"/>
      <w:r w:rsidR="00761FC5" w:rsidRPr="000B2F5F">
        <w:rPr>
          <w:rFonts w:ascii="Times New Roman" w:hAnsi="Times New Roman" w:cs="Times New Roman"/>
          <w:sz w:val="27"/>
          <w:szCs w:val="27"/>
        </w:rPr>
        <w:t xml:space="preserve"> – ВЭБ, как государственный агент по управлению пенсионными накоплениями «молчунов» не раскрывает структуру портфелей, но, </w:t>
      </w:r>
      <w:r w:rsidR="00761FC5" w:rsidRPr="000B2F5F">
        <w:rPr>
          <w:rFonts w:ascii="Times New Roman" w:hAnsi="Times New Roman" w:cs="Times New Roman"/>
          <w:sz w:val="27"/>
          <w:szCs w:val="27"/>
        </w:rPr>
        <w:lastRenderedPageBreak/>
        <w:t>очевидно, формирует их не на фондовом рынке, АСВ, инвестирующее временно свободные денежные средства Фонда обязательного страхования вкладов, на фоне масштабных выплат вынуждено заметно сократить присутствие на торгах.</w:t>
      </w:r>
      <w:proofErr w:type="gramEnd"/>
      <w:r w:rsidR="0078345B" w:rsidRPr="000B2F5F">
        <w:rPr>
          <w:rFonts w:ascii="Times New Roman" w:hAnsi="Times New Roman" w:cs="Times New Roman"/>
          <w:sz w:val="27"/>
          <w:szCs w:val="27"/>
        </w:rPr>
        <w:t xml:space="preserve"> Размер Фонда сократился с 202,5 </w:t>
      </w:r>
      <w:proofErr w:type="gramStart"/>
      <w:r w:rsidR="0078345B" w:rsidRPr="000B2F5F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="0078345B" w:rsidRPr="000B2F5F">
        <w:rPr>
          <w:rFonts w:ascii="Times New Roman" w:hAnsi="Times New Roman" w:cs="Times New Roman"/>
          <w:sz w:val="27"/>
          <w:szCs w:val="27"/>
        </w:rPr>
        <w:t xml:space="preserve"> рублей в 2012 года до 68,9 млрд рублей на конец 2014 года, а последние события показывают, что это, вероятно, еще не предел.</w:t>
      </w:r>
      <w:r w:rsidR="00761FC5" w:rsidRPr="000B2F5F">
        <w:rPr>
          <w:rFonts w:ascii="Times New Roman" w:hAnsi="Times New Roman" w:cs="Times New Roman"/>
          <w:sz w:val="27"/>
          <w:szCs w:val="27"/>
        </w:rPr>
        <w:t xml:space="preserve"> </w:t>
      </w:r>
      <w:r w:rsidR="00AD4143" w:rsidRPr="000B2F5F">
        <w:rPr>
          <w:rFonts w:ascii="Times New Roman" w:hAnsi="Times New Roman" w:cs="Times New Roman"/>
          <w:sz w:val="27"/>
          <w:szCs w:val="27"/>
        </w:rPr>
        <w:t xml:space="preserve">Суммарная СЧА открытых и интервальных </w:t>
      </w:r>
      <w:proofErr w:type="spellStart"/>
      <w:r w:rsidR="00AD4143" w:rsidRPr="000B2F5F">
        <w:rPr>
          <w:rFonts w:ascii="Times New Roman" w:hAnsi="Times New Roman" w:cs="Times New Roman"/>
          <w:sz w:val="27"/>
          <w:szCs w:val="27"/>
        </w:rPr>
        <w:t>ПИФов</w:t>
      </w:r>
      <w:proofErr w:type="spellEnd"/>
      <w:r w:rsidR="00AD4143" w:rsidRPr="000B2F5F">
        <w:rPr>
          <w:rFonts w:ascii="Times New Roman" w:hAnsi="Times New Roman" w:cs="Times New Roman"/>
          <w:sz w:val="27"/>
          <w:szCs w:val="27"/>
        </w:rPr>
        <w:t xml:space="preserve">, инвестирующих в российские ценные бумаги, за последние 5 лет сократилась почти на 15 </w:t>
      </w:r>
      <w:proofErr w:type="gramStart"/>
      <w:r w:rsidR="00AD4143" w:rsidRPr="000B2F5F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="00AD4143" w:rsidRPr="000B2F5F">
        <w:rPr>
          <w:rFonts w:ascii="Times New Roman" w:hAnsi="Times New Roman" w:cs="Times New Roman"/>
          <w:sz w:val="27"/>
          <w:szCs w:val="27"/>
        </w:rPr>
        <w:t xml:space="preserve"> рублей. </w:t>
      </w:r>
      <w:proofErr w:type="gramStart"/>
      <w:r w:rsidR="0078345B" w:rsidRPr="000B2F5F">
        <w:rPr>
          <w:rFonts w:ascii="Times New Roman" w:hAnsi="Times New Roman" w:cs="Times New Roman"/>
          <w:sz w:val="27"/>
          <w:szCs w:val="27"/>
        </w:rPr>
        <w:t>В итоге с</w:t>
      </w:r>
      <w:r w:rsidR="00AD4143" w:rsidRPr="000B2F5F">
        <w:rPr>
          <w:rFonts w:ascii="Times New Roman" w:hAnsi="Times New Roman" w:cs="Times New Roman"/>
          <w:sz w:val="27"/>
          <w:szCs w:val="27"/>
        </w:rPr>
        <w:t>уммарный объем торгов на фондовом рынке Московской биржи последние 5 лет снижается.</w:t>
      </w:r>
      <w:proofErr w:type="gramEnd"/>
      <w:r w:rsidR="00AD4143" w:rsidRPr="000B2F5F">
        <w:rPr>
          <w:rFonts w:ascii="Times New Roman" w:hAnsi="Times New Roman" w:cs="Times New Roman"/>
          <w:sz w:val="27"/>
          <w:szCs w:val="27"/>
        </w:rPr>
        <w:t xml:space="preserve"> Если эта тенденция сохранится, то на фоне роста объема активов, крупные пенсионные фонды могут оказаться «слонами в посудной лавке», рискуя случайно формально </w:t>
      </w:r>
      <w:proofErr w:type="spellStart"/>
      <w:r w:rsidR="00AD4143" w:rsidRPr="000B2F5F">
        <w:rPr>
          <w:rFonts w:ascii="Times New Roman" w:hAnsi="Times New Roman" w:cs="Times New Roman"/>
          <w:sz w:val="27"/>
          <w:szCs w:val="27"/>
        </w:rPr>
        <w:t>проманипулировать</w:t>
      </w:r>
      <w:proofErr w:type="spellEnd"/>
      <w:r w:rsidR="00AD4143" w:rsidRPr="000B2F5F">
        <w:rPr>
          <w:rFonts w:ascii="Times New Roman" w:hAnsi="Times New Roman" w:cs="Times New Roman"/>
          <w:sz w:val="27"/>
          <w:szCs w:val="27"/>
        </w:rPr>
        <w:t xml:space="preserve"> рынком, совершая рутинные операции по портфелям.</w:t>
      </w:r>
    </w:p>
    <w:p w:rsidR="000B2F5F" w:rsidRPr="000B2F5F" w:rsidRDefault="000B2F5F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4143" w:rsidRPr="00FF4CDD" w:rsidRDefault="00AD4143" w:rsidP="00AD41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F4CDD">
        <w:rPr>
          <w:rFonts w:ascii="Times New Roman" w:hAnsi="Times New Roman" w:cs="Times New Roman"/>
          <w:b/>
          <w:sz w:val="24"/>
        </w:rPr>
        <w:t xml:space="preserve">Объем торгов на фондовом рынке Группы Московская Биржа за последние 5 лет, </w:t>
      </w:r>
      <w:proofErr w:type="gramStart"/>
      <w:r w:rsidRPr="00FF4CDD">
        <w:rPr>
          <w:rFonts w:ascii="Times New Roman" w:hAnsi="Times New Roman" w:cs="Times New Roman"/>
          <w:b/>
          <w:sz w:val="24"/>
        </w:rPr>
        <w:t>млрд</w:t>
      </w:r>
      <w:proofErr w:type="gramEnd"/>
      <w:r w:rsidRPr="00FF4CDD">
        <w:rPr>
          <w:rFonts w:ascii="Times New Roman" w:hAnsi="Times New Roman" w:cs="Times New Roman"/>
          <w:b/>
          <w:sz w:val="24"/>
        </w:rPr>
        <w:t xml:space="preserve"> руб.</w:t>
      </w:r>
    </w:p>
    <w:p w:rsidR="00AD4143" w:rsidRPr="00FF4CDD" w:rsidRDefault="00AD4143" w:rsidP="00AD41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4CD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8A321E5" wp14:editId="55582B2D">
            <wp:extent cx="5937250" cy="3194050"/>
            <wp:effectExtent l="0" t="0" r="63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4143" w:rsidRPr="00FF4CDD" w:rsidRDefault="00AD4143" w:rsidP="00AD4143">
      <w:pPr>
        <w:jc w:val="right"/>
        <w:rPr>
          <w:rFonts w:ascii="Times New Roman" w:hAnsi="Times New Roman" w:cs="Times New Roman"/>
          <w:sz w:val="24"/>
        </w:rPr>
      </w:pPr>
      <w:r w:rsidRPr="00FF4CDD">
        <w:rPr>
          <w:rFonts w:ascii="Times New Roman" w:hAnsi="Times New Roman" w:cs="Times New Roman"/>
          <w:sz w:val="24"/>
        </w:rPr>
        <w:t>Источник: Московская биржа</w:t>
      </w:r>
    </w:p>
    <w:p w:rsidR="00821663" w:rsidRPr="000B2F5F" w:rsidRDefault="00821663" w:rsidP="000B2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F5F">
        <w:rPr>
          <w:rFonts w:ascii="Times New Roman" w:hAnsi="Times New Roman" w:cs="Times New Roman"/>
          <w:sz w:val="27"/>
          <w:szCs w:val="27"/>
        </w:rPr>
        <w:t xml:space="preserve">В сложившейся ситуации регулятор оказался в достаточно затруднительном положении, пытаясь </w:t>
      </w:r>
      <w:r w:rsidR="0078345B" w:rsidRPr="000B2F5F">
        <w:rPr>
          <w:rFonts w:ascii="Times New Roman" w:hAnsi="Times New Roman" w:cs="Times New Roman"/>
          <w:sz w:val="27"/>
          <w:szCs w:val="27"/>
        </w:rPr>
        <w:t xml:space="preserve">оценивать качество инвестиций </w:t>
      </w:r>
      <w:r w:rsidRPr="000B2F5F">
        <w:rPr>
          <w:rFonts w:ascii="Times New Roman" w:hAnsi="Times New Roman" w:cs="Times New Roman"/>
          <w:sz w:val="27"/>
          <w:szCs w:val="27"/>
        </w:rPr>
        <w:t>фонд</w:t>
      </w:r>
      <w:r w:rsidR="0078345B" w:rsidRPr="000B2F5F">
        <w:rPr>
          <w:rFonts w:ascii="Times New Roman" w:hAnsi="Times New Roman" w:cs="Times New Roman"/>
          <w:sz w:val="27"/>
          <w:szCs w:val="27"/>
        </w:rPr>
        <w:t>ов</w:t>
      </w:r>
      <w:r w:rsidRPr="000B2F5F">
        <w:rPr>
          <w:rFonts w:ascii="Times New Roman" w:hAnsi="Times New Roman" w:cs="Times New Roman"/>
          <w:sz w:val="27"/>
          <w:szCs w:val="27"/>
        </w:rPr>
        <w:t xml:space="preserve"> сугубо по рыночным </w:t>
      </w:r>
      <w:r w:rsidR="0078345B" w:rsidRPr="000B2F5F">
        <w:rPr>
          <w:rFonts w:ascii="Times New Roman" w:hAnsi="Times New Roman" w:cs="Times New Roman"/>
          <w:sz w:val="27"/>
          <w:szCs w:val="27"/>
        </w:rPr>
        <w:t>меркам</w:t>
      </w:r>
      <w:r w:rsidRPr="000B2F5F">
        <w:rPr>
          <w:rFonts w:ascii="Times New Roman" w:hAnsi="Times New Roman" w:cs="Times New Roman"/>
          <w:sz w:val="27"/>
          <w:szCs w:val="27"/>
        </w:rPr>
        <w:t xml:space="preserve"> при фактическом отсутствии – в нужном объеме и качестве – этого самого рынка. </w:t>
      </w:r>
      <w:r w:rsidR="00AB3BB4" w:rsidRPr="000B2F5F">
        <w:rPr>
          <w:rFonts w:ascii="Times New Roman" w:hAnsi="Times New Roman" w:cs="Times New Roman"/>
          <w:sz w:val="27"/>
          <w:szCs w:val="27"/>
        </w:rPr>
        <w:t>Возможно</w:t>
      </w:r>
      <w:r w:rsidR="0078345B" w:rsidRPr="000B2F5F">
        <w:rPr>
          <w:rFonts w:ascii="Times New Roman" w:hAnsi="Times New Roman" w:cs="Times New Roman"/>
          <w:sz w:val="27"/>
          <w:szCs w:val="27"/>
        </w:rPr>
        <w:t>,</w:t>
      </w:r>
      <w:r w:rsidR="00AB3BB4" w:rsidRPr="000B2F5F">
        <w:rPr>
          <w:rFonts w:ascii="Times New Roman" w:hAnsi="Times New Roman" w:cs="Times New Roman"/>
          <w:sz w:val="27"/>
          <w:szCs w:val="27"/>
        </w:rPr>
        <w:t xml:space="preserve"> ответом сразу на все вопросы – и на соответствие риска доходности, и на обвинения </w:t>
      </w:r>
      <w:proofErr w:type="spellStart"/>
      <w:r w:rsidR="00AB3BB4" w:rsidRPr="000B2F5F">
        <w:rPr>
          <w:rFonts w:ascii="Times New Roman" w:hAnsi="Times New Roman" w:cs="Times New Roman"/>
          <w:sz w:val="27"/>
          <w:szCs w:val="27"/>
        </w:rPr>
        <w:t>соцблока</w:t>
      </w:r>
      <w:proofErr w:type="spellEnd"/>
      <w:r w:rsidR="00AB3BB4" w:rsidRPr="000B2F5F">
        <w:rPr>
          <w:rFonts w:ascii="Times New Roman" w:hAnsi="Times New Roman" w:cs="Times New Roman"/>
          <w:sz w:val="27"/>
          <w:szCs w:val="27"/>
        </w:rPr>
        <w:t xml:space="preserve"> в том, что средства пенсионных накоплений, </w:t>
      </w:r>
      <w:r w:rsidR="00AB3BB4" w:rsidRPr="000B2F5F">
        <w:rPr>
          <w:rFonts w:ascii="Times New Roman" w:hAnsi="Times New Roman" w:cs="Times New Roman"/>
          <w:sz w:val="27"/>
          <w:szCs w:val="27"/>
        </w:rPr>
        <w:lastRenderedPageBreak/>
        <w:t xml:space="preserve">поступающие в НПФ, якобы не работают на экономику, </w:t>
      </w:r>
      <w:r w:rsidR="0078345B" w:rsidRPr="000B2F5F">
        <w:rPr>
          <w:rFonts w:ascii="Times New Roman" w:hAnsi="Times New Roman" w:cs="Times New Roman"/>
          <w:sz w:val="27"/>
          <w:szCs w:val="27"/>
        </w:rPr>
        <w:t xml:space="preserve">и на проблемы с волатильностью рынка, – станут инвестиции в инфраструктурные проекты. По крайней </w:t>
      </w:r>
      <w:proofErr w:type="gramStart"/>
      <w:r w:rsidR="0078345B" w:rsidRPr="000B2F5F">
        <w:rPr>
          <w:rFonts w:ascii="Times New Roman" w:hAnsi="Times New Roman" w:cs="Times New Roman"/>
          <w:sz w:val="27"/>
          <w:szCs w:val="27"/>
        </w:rPr>
        <w:t>мере</w:t>
      </w:r>
      <w:proofErr w:type="gramEnd"/>
      <w:r w:rsidR="0078345B" w:rsidRPr="000B2F5F">
        <w:rPr>
          <w:rFonts w:ascii="Times New Roman" w:hAnsi="Times New Roman" w:cs="Times New Roman"/>
          <w:sz w:val="27"/>
          <w:szCs w:val="27"/>
        </w:rPr>
        <w:t xml:space="preserve"> до момента, когда фондам придется задуматься об актуарной ликвидности.</w:t>
      </w:r>
    </w:p>
    <w:sectPr w:rsidR="00821663" w:rsidRPr="000B2F5F" w:rsidSect="000B2F5F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3D"/>
    <w:rsid w:val="0002053A"/>
    <w:rsid w:val="000B2F5F"/>
    <w:rsid w:val="000F5E7C"/>
    <w:rsid w:val="00193801"/>
    <w:rsid w:val="00306FCA"/>
    <w:rsid w:val="00361ADD"/>
    <w:rsid w:val="00383306"/>
    <w:rsid w:val="003963C1"/>
    <w:rsid w:val="003D7F3D"/>
    <w:rsid w:val="00417375"/>
    <w:rsid w:val="00480A1A"/>
    <w:rsid w:val="004F0DC6"/>
    <w:rsid w:val="00605944"/>
    <w:rsid w:val="00675655"/>
    <w:rsid w:val="00727887"/>
    <w:rsid w:val="00761FC5"/>
    <w:rsid w:val="0078345B"/>
    <w:rsid w:val="007979B3"/>
    <w:rsid w:val="00811D22"/>
    <w:rsid w:val="00821663"/>
    <w:rsid w:val="00880D3E"/>
    <w:rsid w:val="008A4716"/>
    <w:rsid w:val="00946AA4"/>
    <w:rsid w:val="009C214D"/>
    <w:rsid w:val="00A35655"/>
    <w:rsid w:val="00A74064"/>
    <w:rsid w:val="00AB3BB4"/>
    <w:rsid w:val="00AD4143"/>
    <w:rsid w:val="00BB6A7C"/>
    <w:rsid w:val="00BC5C49"/>
    <w:rsid w:val="00C0649C"/>
    <w:rsid w:val="00C2398B"/>
    <w:rsid w:val="00C802A4"/>
    <w:rsid w:val="00C97786"/>
    <w:rsid w:val="00FD54BB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etanin\Downloads\trading-volumes-2015-ju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>
                    <a:latin typeface="+mn-lt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Лист1!$A$1:$A$20</c:f>
              <c:strCache>
                <c:ptCount val="20"/>
                <c:pt idx="0">
                  <c:v>Турция</c:v>
                </c:pt>
                <c:pt idx="1">
                  <c:v>Польша</c:v>
                </c:pt>
                <c:pt idx="2">
                  <c:v>Чехия</c:v>
                </c:pt>
                <c:pt idx="3">
                  <c:v>Мексика</c:v>
                </c:pt>
                <c:pt idx="4">
                  <c:v>Израиль</c:v>
                </c:pt>
                <c:pt idx="5">
                  <c:v>Япония</c:v>
                </c:pt>
                <c:pt idx="6">
                  <c:v>Исландия</c:v>
                </c:pt>
                <c:pt idx="7">
                  <c:v>Дания</c:v>
                </c:pt>
                <c:pt idx="8">
                  <c:v>Великобритания</c:v>
                </c:pt>
                <c:pt idx="9">
                  <c:v>Норвегия</c:v>
                </c:pt>
                <c:pt idx="10">
                  <c:v>Канада</c:v>
                </c:pt>
                <c:pt idx="11">
                  <c:v>Швейцария</c:v>
                </c:pt>
                <c:pt idx="12">
                  <c:v>Нидерланды</c:v>
                </c:pt>
                <c:pt idx="13">
                  <c:v>Словения</c:v>
                </c:pt>
                <c:pt idx="14">
                  <c:v>Чили</c:v>
                </c:pt>
                <c:pt idx="15">
                  <c:v>Португалия</c:v>
                </c:pt>
                <c:pt idx="16">
                  <c:v>Италия</c:v>
                </c:pt>
                <c:pt idx="17">
                  <c:v>Словакия</c:v>
                </c:pt>
                <c:pt idx="18">
                  <c:v>Люксембург</c:v>
                </c:pt>
                <c:pt idx="19">
                  <c:v>Эстония</c:v>
                </c:pt>
              </c:strCache>
            </c:strRef>
          </c:cat>
          <c:val>
            <c:numRef>
              <c:f>Лист1!$B$1:$B$20</c:f>
              <c:numCache>
                <c:formatCode>0.0</c:formatCode>
                <c:ptCount val="20"/>
                <c:pt idx="0">
                  <c:v>1</c:v>
                </c:pt>
                <c:pt idx="1">
                  <c:v>1.4</c:v>
                </c:pt>
                <c:pt idx="2">
                  <c:v>11.9</c:v>
                </c:pt>
                <c:pt idx="3">
                  <c:v>12.6</c:v>
                </c:pt>
                <c:pt idx="4">
                  <c:v>15.6</c:v>
                </c:pt>
                <c:pt idx="5">
                  <c:v>21.4</c:v>
                </c:pt>
                <c:pt idx="6">
                  <c:v>23.8</c:v>
                </c:pt>
                <c:pt idx="7">
                  <c:v>25.5</c:v>
                </c:pt>
                <c:pt idx="8">
                  <c:v>27.8</c:v>
                </c:pt>
                <c:pt idx="9">
                  <c:v>29</c:v>
                </c:pt>
                <c:pt idx="10">
                  <c:v>33.700000000000003</c:v>
                </c:pt>
                <c:pt idx="11">
                  <c:v>39.5</c:v>
                </c:pt>
                <c:pt idx="12">
                  <c:v>39.799999999999997</c:v>
                </c:pt>
                <c:pt idx="13">
                  <c:v>41.2</c:v>
                </c:pt>
                <c:pt idx="14">
                  <c:v>42.4</c:v>
                </c:pt>
                <c:pt idx="15">
                  <c:v>56</c:v>
                </c:pt>
                <c:pt idx="16">
                  <c:v>57.1</c:v>
                </c:pt>
                <c:pt idx="17">
                  <c:v>59.5</c:v>
                </c:pt>
                <c:pt idx="18">
                  <c:v>64.599999999999994</c:v>
                </c:pt>
                <c:pt idx="19">
                  <c:v>74.5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82720"/>
        <c:axId val="115984256"/>
      </c:barChart>
      <c:catAx>
        <c:axId val="1159827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n-lt"/>
                <a:cs typeface="Arial" panose="020B0604020202020204" pitchFamily="34" charset="0"/>
              </a:defRPr>
            </a:pPr>
            <a:endParaRPr lang="ru-RU"/>
          </a:p>
        </c:txPr>
        <c:crossAx val="115984256"/>
        <c:crosses val="autoZero"/>
        <c:auto val="1"/>
        <c:lblAlgn val="ctr"/>
        <c:lblOffset val="100"/>
        <c:tickLblSkip val="1"/>
        <c:noMultiLvlLbl val="0"/>
      </c:catAx>
      <c:valAx>
        <c:axId val="11598425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5982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'Не акц обл'!$A$1:$A$17</c:f>
              <c:strCache>
                <c:ptCount val="17"/>
                <c:pt idx="0">
                  <c:v>США</c:v>
                </c:pt>
                <c:pt idx="1">
                  <c:v>Финляндия</c:v>
                </c:pt>
                <c:pt idx="2">
                  <c:v>Италия</c:v>
                </c:pt>
                <c:pt idx="3">
                  <c:v>Индонезия</c:v>
                </c:pt>
                <c:pt idx="4">
                  <c:v>Латвия</c:v>
                </c:pt>
                <c:pt idx="5">
                  <c:v>Португалия</c:v>
                </c:pt>
                <c:pt idx="6">
                  <c:v>Кения</c:v>
                </c:pt>
                <c:pt idx="7">
                  <c:v>Швейцария</c:v>
                </c:pt>
                <c:pt idx="8">
                  <c:v>Украина</c:v>
                </c:pt>
                <c:pt idx="9">
                  <c:v>Австралия</c:v>
                </c:pt>
                <c:pt idx="10">
                  <c:v>Германия</c:v>
                </c:pt>
                <c:pt idx="11">
                  <c:v>Великобритания</c:v>
                </c:pt>
                <c:pt idx="12">
                  <c:v>Япония</c:v>
                </c:pt>
                <c:pt idx="13">
                  <c:v>Мальта</c:v>
                </c:pt>
                <c:pt idx="14">
                  <c:v>Индия</c:v>
                </c:pt>
                <c:pt idx="15">
                  <c:v>ЮАР</c:v>
                </c:pt>
                <c:pt idx="16">
                  <c:v>Ю.Корея</c:v>
                </c:pt>
              </c:strCache>
            </c:strRef>
          </c:cat>
          <c:val>
            <c:numRef>
              <c:f>'Не акц обл'!$B$1:$B$17</c:f>
              <c:numCache>
                <c:formatCode>0.0</c:formatCode>
                <c:ptCount val="17"/>
                <c:pt idx="0">
                  <c:v>29.756805008871424</c:v>
                </c:pt>
                <c:pt idx="1">
                  <c:v>30.709013643480205</c:v>
                </c:pt>
                <c:pt idx="2">
                  <c:v>32.844377454588965</c:v>
                </c:pt>
                <c:pt idx="3">
                  <c:v>32.946113577203832</c:v>
                </c:pt>
                <c:pt idx="4">
                  <c:v>32.992868615123612</c:v>
                </c:pt>
                <c:pt idx="5">
                  <c:v>35.72089824833003</c:v>
                </c:pt>
                <c:pt idx="6">
                  <c:v>36.121742299981776</c:v>
                </c:pt>
                <c:pt idx="7">
                  <c:v>37.136659139902449</c:v>
                </c:pt>
                <c:pt idx="8">
                  <c:v>41.589155670920761</c:v>
                </c:pt>
                <c:pt idx="9">
                  <c:v>42.453886915769431</c:v>
                </c:pt>
                <c:pt idx="10">
                  <c:v>43.776865012383482</c:v>
                </c:pt>
                <c:pt idx="11">
                  <c:v>45.202037916046379</c:v>
                </c:pt>
                <c:pt idx="12">
                  <c:v>51.646256989297939</c:v>
                </c:pt>
                <c:pt idx="13">
                  <c:v>54.763613089016381</c:v>
                </c:pt>
                <c:pt idx="14">
                  <c:v>58.150031381622071</c:v>
                </c:pt>
                <c:pt idx="15">
                  <c:v>67.512321205616274</c:v>
                </c:pt>
                <c:pt idx="16">
                  <c:v>91.035653243645868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00640"/>
        <c:axId val="116002176"/>
      </c:barChart>
      <c:catAx>
        <c:axId val="1160006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6002176"/>
        <c:crosses val="autoZero"/>
        <c:auto val="1"/>
        <c:lblAlgn val="ctr"/>
        <c:lblOffset val="100"/>
        <c:noMultiLvlLbl val="0"/>
      </c:catAx>
      <c:valAx>
        <c:axId val="11600217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6000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'[trading-volumes-2015-jul.xlsx]объем'!$CJ$3:$DD$3</c:f>
              <c:strCache>
                <c:ptCount val="21"/>
                <c:pt idx="0">
                  <c:v>IIQ2010</c:v>
                </c:pt>
                <c:pt idx="1">
                  <c:v>IIIQ2010</c:v>
                </c:pt>
                <c:pt idx="2">
                  <c:v>IVQ2010</c:v>
                </c:pt>
                <c:pt idx="3">
                  <c:v>IQ2011</c:v>
                </c:pt>
                <c:pt idx="4">
                  <c:v>IIQ2011</c:v>
                </c:pt>
                <c:pt idx="5">
                  <c:v>IIIQ2011</c:v>
                </c:pt>
                <c:pt idx="6">
                  <c:v>IVQ2011</c:v>
                </c:pt>
                <c:pt idx="7">
                  <c:v>IQ2012</c:v>
                </c:pt>
                <c:pt idx="8">
                  <c:v>IIQ2012</c:v>
                </c:pt>
                <c:pt idx="9">
                  <c:v>IIIQ2012</c:v>
                </c:pt>
                <c:pt idx="10">
                  <c:v>IVQ2012</c:v>
                </c:pt>
                <c:pt idx="11">
                  <c:v>IQ2013</c:v>
                </c:pt>
                <c:pt idx="12">
                  <c:v>IIQ2013</c:v>
                </c:pt>
                <c:pt idx="13">
                  <c:v>IIIQ2013</c:v>
                </c:pt>
                <c:pt idx="14">
                  <c:v>IVQ2013</c:v>
                </c:pt>
                <c:pt idx="15">
                  <c:v>IQ2014</c:v>
                </c:pt>
                <c:pt idx="16">
                  <c:v>IIQ2014</c:v>
                </c:pt>
                <c:pt idx="17">
                  <c:v>IIIQ2014</c:v>
                </c:pt>
                <c:pt idx="18">
                  <c:v>IVQ2014</c:v>
                </c:pt>
                <c:pt idx="19">
                  <c:v>IQ2015</c:v>
                </c:pt>
                <c:pt idx="20">
                  <c:v>IIQ2015</c:v>
                </c:pt>
              </c:strCache>
            </c:strRef>
          </c:cat>
          <c:val>
            <c:numRef>
              <c:f>'[trading-volumes-2015-jul.xlsx]объем'!$CJ$5:$DD$5</c:f>
              <c:numCache>
                <c:formatCode>#,##0;\(#,##0\)</c:formatCode>
                <c:ptCount val="21"/>
                <c:pt idx="0">
                  <c:v>7136.9753829506408</c:v>
                </c:pt>
                <c:pt idx="1">
                  <c:v>6820.9509870081147</c:v>
                </c:pt>
                <c:pt idx="2">
                  <c:v>7003.3994576780169</c:v>
                </c:pt>
                <c:pt idx="3">
                  <c:v>7635.7797687885668</c:v>
                </c:pt>
                <c:pt idx="4">
                  <c:v>7395.4360634895584</c:v>
                </c:pt>
                <c:pt idx="5">
                  <c:v>8071.8718245671307</c:v>
                </c:pt>
                <c:pt idx="6">
                  <c:v>7548.8599620467703</c:v>
                </c:pt>
                <c:pt idx="7">
                  <c:v>6397.2429905092486</c:v>
                </c:pt>
                <c:pt idx="8">
                  <c:v>5354.8961446486064</c:v>
                </c:pt>
                <c:pt idx="9">
                  <c:v>5839.11559089394</c:v>
                </c:pt>
                <c:pt idx="10">
                  <c:v>6540.8333412286538</c:v>
                </c:pt>
                <c:pt idx="11">
                  <c:v>5932.2777513547189</c:v>
                </c:pt>
                <c:pt idx="12">
                  <c:v>6299.5662999108163</c:v>
                </c:pt>
                <c:pt idx="13">
                  <c:v>5549.8921241943417</c:v>
                </c:pt>
                <c:pt idx="14">
                  <c:v>6243.6249420680078</c:v>
                </c:pt>
                <c:pt idx="15">
                  <c:v>5443.1608882236433</c:v>
                </c:pt>
                <c:pt idx="16">
                  <c:v>4809.6343634572004</c:v>
                </c:pt>
                <c:pt idx="17">
                  <c:v>4527.0598424556347</c:v>
                </c:pt>
                <c:pt idx="18">
                  <c:v>6107.516589492705</c:v>
                </c:pt>
                <c:pt idx="19">
                  <c:v>4614.5492857431218</c:v>
                </c:pt>
                <c:pt idx="20">
                  <c:v>4950.9110682381015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22272"/>
        <c:axId val="116040448"/>
      </c:lineChart>
      <c:catAx>
        <c:axId val="116022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6040448"/>
        <c:crosses val="autoZero"/>
        <c:auto val="1"/>
        <c:lblAlgn val="ctr"/>
        <c:lblOffset val="100"/>
        <c:noMultiLvlLbl val="0"/>
      </c:catAx>
      <c:valAx>
        <c:axId val="116040448"/>
        <c:scaling>
          <c:orientation val="minMax"/>
          <c:min val="4000"/>
        </c:scaling>
        <c:delete val="0"/>
        <c:axPos val="l"/>
        <c:majorGridlines/>
        <c:numFmt formatCode="#,##0;\(#,##0\)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60222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947183-3B35-4CE0-987B-F361D0F2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Александр Юрьевич</dc:creator>
  <cp:lastModifiedBy>Комаров Алексей Константинович</cp:lastModifiedBy>
  <cp:revision>3</cp:revision>
  <cp:lastPrinted>2015-08-24T06:57:00Z</cp:lastPrinted>
  <dcterms:created xsi:type="dcterms:W3CDTF">2015-09-02T08:17:00Z</dcterms:created>
  <dcterms:modified xsi:type="dcterms:W3CDTF">2015-09-02T08:41:00Z</dcterms:modified>
</cp:coreProperties>
</file>