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FF" w:rsidRPr="003F6E95" w:rsidRDefault="004232B1" w:rsidP="001F49DD">
      <w:pPr>
        <w:pStyle w:val="1"/>
        <w:spacing w:before="0" w:after="240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3F6E95">
        <w:rPr>
          <w:rFonts w:ascii="Times New Roman" w:hAnsi="Times New Roman" w:cs="Times New Roman"/>
          <w:b/>
          <w:color w:val="auto"/>
          <w:sz w:val="28"/>
        </w:rPr>
        <w:t xml:space="preserve">Инвестирование пенсионных </w:t>
      </w:r>
      <w:r w:rsidR="00B705F3" w:rsidRPr="003F6E95">
        <w:rPr>
          <w:rFonts w:ascii="Times New Roman" w:hAnsi="Times New Roman" w:cs="Times New Roman"/>
          <w:b/>
          <w:color w:val="auto"/>
          <w:sz w:val="28"/>
        </w:rPr>
        <w:t>активов</w:t>
      </w:r>
      <w:r w:rsidRPr="003F6E95">
        <w:rPr>
          <w:rFonts w:ascii="Times New Roman" w:hAnsi="Times New Roman" w:cs="Times New Roman"/>
          <w:b/>
          <w:color w:val="auto"/>
          <w:sz w:val="28"/>
        </w:rPr>
        <w:t xml:space="preserve"> в</w:t>
      </w:r>
      <w:r w:rsidR="009C4FD7" w:rsidRPr="003F6E95">
        <w:rPr>
          <w:rFonts w:ascii="Times New Roman" w:hAnsi="Times New Roman" w:cs="Times New Roman"/>
          <w:b/>
          <w:color w:val="auto"/>
          <w:sz w:val="28"/>
        </w:rPr>
        <w:t xml:space="preserve"> условиях</w:t>
      </w:r>
      <w:r w:rsidRPr="003F6E95">
        <w:rPr>
          <w:rFonts w:ascii="Times New Roman" w:hAnsi="Times New Roman" w:cs="Times New Roman"/>
          <w:b/>
          <w:color w:val="auto"/>
          <w:sz w:val="28"/>
        </w:rPr>
        <w:t xml:space="preserve"> кризиса</w:t>
      </w:r>
      <w:r w:rsidR="00B705F3" w:rsidRPr="003F6E95">
        <w:rPr>
          <w:rFonts w:ascii="Times New Roman" w:hAnsi="Times New Roman" w:cs="Times New Roman"/>
          <w:b/>
          <w:color w:val="auto"/>
          <w:sz w:val="28"/>
        </w:rPr>
        <w:t>: проблемы и пути решения</w:t>
      </w:r>
    </w:p>
    <w:p w:rsidR="003F6E95" w:rsidRPr="003F6E95" w:rsidRDefault="003F6E95" w:rsidP="003F6E95"/>
    <w:p w:rsidR="003F6E95" w:rsidRDefault="003F6E95" w:rsidP="003F6E95">
      <w:pPr>
        <w:jc w:val="right"/>
        <w:rPr>
          <w:lang w:val="en-GB"/>
        </w:rPr>
      </w:pPr>
      <w:r>
        <w:rPr>
          <w:noProof/>
          <w:lang w:eastAsia="ru-RU"/>
        </w:rPr>
        <w:drawing>
          <wp:inline distT="0" distB="0" distL="0" distR="0">
            <wp:extent cx="1075005" cy="1233577"/>
            <wp:effectExtent l="0" t="0" r="0" b="5080"/>
            <wp:docPr id="3" name="Рисунок 3" descr="C:\Users\AKomarov\Desktop\Журнал новый номер\Номер 24(4)\Фото Кост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omarov\Desktop\Журнал новый номер\Номер 24(4)\Фото Костенк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549" cy="1234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E95" w:rsidRPr="003F6E95" w:rsidRDefault="003F6E95" w:rsidP="003F6E95">
      <w:pPr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lang w:eastAsia="ru-RU"/>
        </w:rPr>
      </w:pPr>
      <w:r w:rsidRPr="003F6E95">
        <w:rPr>
          <w:rFonts w:ascii="Times New Roman" w:hAnsi="Times New Roman" w:cs="Times New Roman"/>
          <w:i/>
          <w:color w:val="000000" w:themeColor="text1"/>
          <w:sz w:val="24"/>
        </w:rPr>
        <w:t>Лев Николаевич Костенко</w:t>
      </w:r>
      <w:r>
        <w:rPr>
          <w:rFonts w:ascii="Times New Roman" w:hAnsi="Times New Roman" w:cs="Times New Roman"/>
          <w:i/>
          <w:color w:val="000000" w:themeColor="text1"/>
          <w:sz w:val="24"/>
        </w:rPr>
        <w:br/>
      </w:r>
      <w:r w:rsidRPr="003F6E9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Заместитель руководителя департамента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br/>
      </w:r>
      <w:r w:rsidRPr="003F6E9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Актуарных расчетов и управления рисками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br/>
      </w:r>
      <w:r w:rsidRPr="003F6E9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НПФ «</w:t>
      </w:r>
      <w:proofErr w:type="spellStart"/>
      <w:r w:rsidRPr="003F6E9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Атомгарант</w:t>
      </w:r>
      <w:proofErr w:type="spellEnd"/>
      <w:r w:rsidRPr="003F6E9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»</w:t>
      </w:r>
    </w:p>
    <w:p w:rsidR="003F6E95" w:rsidRPr="003F6E95" w:rsidRDefault="003F6E95" w:rsidP="003F6E95"/>
    <w:p w:rsidR="00CC57E2" w:rsidRPr="003F6E95" w:rsidRDefault="004E1FAA" w:rsidP="003F6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6E95">
        <w:rPr>
          <w:rFonts w:ascii="Times New Roman" w:hAnsi="Times New Roman" w:cs="Times New Roman"/>
          <w:sz w:val="27"/>
          <w:szCs w:val="27"/>
        </w:rPr>
        <w:t xml:space="preserve">Согласно </w:t>
      </w:r>
      <w:r w:rsidR="00CC57E2" w:rsidRPr="003F6E95">
        <w:rPr>
          <w:rFonts w:ascii="Times New Roman" w:hAnsi="Times New Roman" w:cs="Times New Roman"/>
          <w:sz w:val="27"/>
          <w:szCs w:val="27"/>
        </w:rPr>
        <w:t>Федеральн</w:t>
      </w:r>
      <w:r w:rsidRPr="003F6E95">
        <w:rPr>
          <w:rFonts w:ascii="Times New Roman" w:hAnsi="Times New Roman" w:cs="Times New Roman"/>
          <w:sz w:val="27"/>
          <w:szCs w:val="27"/>
        </w:rPr>
        <w:t>о</w:t>
      </w:r>
      <w:r w:rsidR="00CC57E2" w:rsidRPr="003F6E95">
        <w:rPr>
          <w:rFonts w:ascii="Times New Roman" w:hAnsi="Times New Roman" w:cs="Times New Roman"/>
          <w:sz w:val="27"/>
          <w:szCs w:val="27"/>
        </w:rPr>
        <w:t>м</w:t>
      </w:r>
      <w:r w:rsidRPr="003F6E95">
        <w:rPr>
          <w:rFonts w:ascii="Times New Roman" w:hAnsi="Times New Roman" w:cs="Times New Roman"/>
          <w:sz w:val="27"/>
          <w:szCs w:val="27"/>
        </w:rPr>
        <w:t>у</w:t>
      </w:r>
      <w:r w:rsidR="00CC57E2" w:rsidRPr="003F6E95">
        <w:rPr>
          <w:rFonts w:ascii="Times New Roman" w:hAnsi="Times New Roman" w:cs="Times New Roman"/>
          <w:sz w:val="27"/>
          <w:szCs w:val="27"/>
        </w:rPr>
        <w:t xml:space="preserve"> закон</w:t>
      </w:r>
      <w:r w:rsidRPr="003F6E95">
        <w:rPr>
          <w:rFonts w:ascii="Times New Roman" w:hAnsi="Times New Roman" w:cs="Times New Roman"/>
          <w:sz w:val="27"/>
          <w:szCs w:val="27"/>
        </w:rPr>
        <w:t>у</w:t>
      </w:r>
      <w:r w:rsidR="00CC57E2" w:rsidRPr="003F6E95">
        <w:rPr>
          <w:rFonts w:ascii="Times New Roman" w:hAnsi="Times New Roman" w:cs="Times New Roman"/>
          <w:sz w:val="27"/>
          <w:szCs w:val="27"/>
        </w:rPr>
        <w:t xml:space="preserve"> от 07.05.1998г. №75-ФЗ «О негосударственных пенсионных фондах»</w:t>
      </w:r>
      <w:r w:rsidRPr="003F6E95">
        <w:rPr>
          <w:rFonts w:ascii="Times New Roman" w:hAnsi="Times New Roman" w:cs="Times New Roman"/>
          <w:sz w:val="27"/>
          <w:szCs w:val="27"/>
        </w:rPr>
        <w:t xml:space="preserve"> размещение средств пенсионных резервов и инвестирование пенсионных накоплений должно осуществляться на следующих принципах</w:t>
      </w:r>
      <w:r w:rsidR="00CC57E2" w:rsidRPr="003F6E95">
        <w:rPr>
          <w:rFonts w:ascii="Times New Roman" w:hAnsi="Times New Roman" w:cs="Times New Roman"/>
          <w:sz w:val="27"/>
          <w:szCs w:val="27"/>
        </w:rPr>
        <w:t>:</w:t>
      </w:r>
    </w:p>
    <w:p w:rsidR="00CC57E2" w:rsidRPr="003F6E95" w:rsidRDefault="00CC57E2" w:rsidP="003F6E95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3F6E95">
        <w:rPr>
          <w:rFonts w:ascii="Times New Roman" w:hAnsi="Times New Roman" w:cs="Times New Roman"/>
          <w:sz w:val="27"/>
          <w:szCs w:val="27"/>
        </w:rPr>
        <w:t>обеспечени</w:t>
      </w:r>
      <w:r w:rsidR="001C1E43" w:rsidRPr="003F6E95">
        <w:rPr>
          <w:rFonts w:ascii="Times New Roman" w:hAnsi="Times New Roman" w:cs="Times New Roman"/>
          <w:sz w:val="27"/>
          <w:szCs w:val="27"/>
        </w:rPr>
        <w:t>я</w:t>
      </w:r>
      <w:r w:rsidRPr="003F6E95">
        <w:rPr>
          <w:rFonts w:ascii="Times New Roman" w:hAnsi="Times New Roman" w:cs="Times New Roman"/>
          <w:sz w:val="27"/>
          <w:szCs w:val="27"/>
        </w:rPr>
        <w:t xml:space="preserve"> сохранности пенсионных средств;</w:t>
      </w:r>
    </w:p>
    <w:p w:rsidR="00CC57E2" w:rsidRPr="003F6E95" w:rsidRDefault="00CC57E2" w:rsidP="003F6E9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6E95">
        <w:rPr>
          <w:rFonts w:ascii="Times New Roman" w:hAnsi="Times New Roman" w:cs="Times New Roman"/>
          <w:sz w:val="27"/>
          <w:szCs w:val="27"/>
        </w:rPr>
        <w:t>обеспечени</w:t>
      </w:r>
      <w:r w:rsidR="001C1E43" w:rsidRPr="003F6E95">
        <w:rPr>
          <w:rFonts w:ascii="Times New Roman" w:hAnsi="Times New Roman" w:cs="Times New Roman"/>
          <w:sz w:val="27"/>
          <w:szCs w:val="27"/>
        </w:rPr>
        <w:t xml:space="preserve">я </w:t>
      </w:r>
      <w:r w:rsidRPr="003F6E95">
        <w:rPr>
          <w:rFonts w:ascii="Times New Roman" w:hAnsi="Times New Roman" w:cs="Times New Roman"/>
          <w:sz w:val="27"/>
          <w:szCs w:val="27"/>
        </w:rPr>
        <w:t>доходности, диверсификации и ликвидности инвестиционных портфелей;</w:t>
      </w:r>
    </w:p>
    <w:p w:rsidR="00CC57E2" w:rsidRPr="003F6E95" w:rsidRDefault="00CC57E2" w:rsidP="003F6E9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6E95">
        <w:rPr>
          <w:rFonts w:ascii="Times New Roman" w:hAnsi="Times New Roman" w:cs="Times New Roman"/>
          <w:sz w:val="27"/>
          <w:szCs w:val="27"/>
        </w:rPr>
        <w:t>определени</w:t>
      </w:r>
      <w:r w:rsidR="001C1E43" w:rsidRPr="003F6E95">
        <w:rPr>
          <w:rFonts w:ascii="Times New Roman" w:hAnsi="Times New Roman" w:cs="Times New Roman"/>
          <w:sz w:val="27"/>
          <w:szCs w:val="27"/>
        </w:rPr>
        <w:t>я</w:t>
      </w:r>
      <w:r w:rsidRPr="003F6E95">
        <w:rPr>
          <w:rFonts w:ascii="Times New Roman" w:hAnsi="Times New Roman" w:cs="Times New Roman"/>
          <w:sz w:val="27"/>
          <w:szCs w:val="27"/>
        </w:rPr>
        <w:t xml:space="preserve"> инвестиционной стратегии на основе объективных критериев, поддающихся количественной оценке;</w:t>
      </w:r>
    </w:p>
    <w:p w:rsidR="00CC57E2" w:rsidRPr="003F6E95" w:rsidRDefault="00CC57E2" w:rsidP="003F6E9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6E95">
        <w:rPr>
          <w:rFonts w:ascii="Times New Roman" w:hAnsi="Times New Roman" w:cs="Times New Roman"/>
          <w:sz w:val="27"/>
          <w:szCs w:val="27"/>
        </w:rPr>
        <w:t>учет</w:t>
      </w:r>
      <w:r w:rsidR="001C1E43" w:rsidRPr="003F6E95">
        <w:rPr>
          <w:rFonts w:ascii="Times New Roman" w:hAnsi="Times New Roman" w:cs="Times New Roman"/>
          <w:sz w:val="27"/>
          <w:szCs w:val="27"/>
        </w:rPr>
        <w:t>а</w:t>
      </w:r>
      <w:r w:rsidRPr="003F6E95">
        <w:rPr>
          <w:rFonts w:ascii="Times New Roman" w:hAnsi="Times New Roman" w:cs="Times New Roman"/>
          <w:sz w:val="27"/>
          <w:szCs w:val="27"/>
        </w:rPr>
        <w:t xml:space="preserve"> надежности ценных бумаг;</w:t>
      </w:r>
    </w:p>
    <w:p w:rsidR="00CC57E2" w:rsidRPr="003F6E95" w:rsidRDefault="00CC57E2" w:rsidP="003F6E95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3F6E95">
        <w:rPr>
          <w:rFonts w:ascii="Times New Roman" w:hAnsi="Times New Roman" w:cs="Times New Roman"/>
          <w:sz w:val="27"/>
          <w:szCs w:val="27"/>
        </w:rPr>
        <w:t>информационной открытости процесса размещения средств пенсионных резервов и инвестирования средств пенсионных накоплений для фонда, его вкладчиков, участников и застрахованных лиц;</w:t>
      </w:r>
    </w:p>
    <w:p w:rsidR="00CC57E2" w:rsidRPr="003F6E95" w:rsidRDefault="00CC57E2" w:rsidP="003F6E95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3F6E95">
        <w:rPr>
          <w:rFonts w:ascii="Times New Roman" w:hAnsi="Times New Roman" w:cs="Times New Roman"/>
          <w:sz w:val="27"/>
          <w:szCs w:val="27"/>
        </w:rPr>
        <w:t>прозрачности процесса размещения средств пенсионных резервов и инвестирования средств пенсионных накоплений для органов государственного, общественного надзора и контроля, специализированного депозитария и подконтрольности им;</w:t>
      </w:r>
    </w:p>
    <w:p w:rsidR="00CC57E2" w:rsidRPr="003F6E95" w:rsidRDefault="00CC57E2" w:rsidP="003F6E95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3F6E95">
        <w:rPr>
          <w:rFonts w:ascii="Times New Roman" w:hAnsi="Times New Roman" w:cs="Times New Roman"/>
          <w:sz w:val="27"/>
          <w:szCs w:val="27"/>
        </w:rPr>
        <w:t>профессионального управления инвестиционным процессом.</w:t>
      </w:r>
    </w:p>
    <w:p w:rsidR="00C76EE4" w:rsidRDefault="00C76EE4" w:rsidP="003F6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6E95">
        <w:rPr>
          <w:rFonts w:ascii="Times New Roman" w:hAnsi="Times New Roman" w:cs="Times New Roman"/>
          <w:sz w:val="27"/>
          <w:szCs w:val="27"/>
        </w:rPr>
        <w:t xml:space="preserve">С целью соблюдения таких принципов Фондам необходимо разрабатывать и внедрять систему </w:t>
      </w:r>
      <w:proofErr w:type="gramStart"/>
      <w:r w:rsidRPr="003F6E95">
        <w:rPr>
          <w:rFonts w:ascii="Times New Roman" w:hAnsi="Times New Roman" w:cs="Times New Roman"/>
          <w:sz w:val="27"/>
          <w:szCs w:val="27"/>
        </w:rPr>
        <w:t>риск-менеджмент</w:t>
      </w:r>
      <w:r w:rsidR="001C1E43" w:rsidRPr="003F6E95">
        <w:rPr>
          <w:rFonts w:ascii="Times New Roman" w:hAnsi="Times New Roman" w:cs="Times New Roman"/>
          <w:sz w:val="27"/>
          <w:szCs w:val="27"/>
        </w:rPr>
        <w:t>а</w:t>
      </w:r>
      <w:proofErr w:type="gramEnd"/>
      <w:r w:rsidRPr="003F6E95">
        <w:rPr>
          <w:rFonts w:ascii="Times New Roman" w:hAnsi="Times New Roman" w:cs="Times New Roman"/>
          <w:sz w:val="27"/>
          <w:szCs w:val="27"/>
        </w:rPr>
        <w:t xml:space="preserve">, </w:t>
      </w:r>
      <w:r w:rsidR="00310359" w:rsidRPr="003F6E95">
        <w:rPr>
          <w:rFonts w:ascii="Times New Roman" w:hAnsi="Times New Roman" w:cs="Times New Roman"/>
          <w:sz w:val="27"/>
          <w:szCs w:val="27"/>
        </w:rPr>
        <w:t>организовывать внутреннюю структуру принятия инвестиционных решений с четким ра</w:t>
      </w:r>
      <w:r w:rsidR="005769EF" w:rsidRPr="003F6E95">
        <w:rPr>
          <w:rFonts w:ascii="Times New Roman" w:hAnsi="Times New Roman" w:cs="Times New Roman"/>
          <w:sz w:val="27"/>
          <w:szCs w:val="27"/>
        </w:rPr>
        <w:t>спределением</w:t>
      </w:r>
      <w:r w:rsidR="00310359" w:rsidRPr="003F6E95">
        <w:rPr>
          <w:rFonts w:ascii="Times New Roman" w:hAnsi="Times New Roman" w:cs="Times New Roman"/>
          <w:sz w:val="27"/>
          <w:szCs w:val="27"/>
        </w:rPr>
        <w:t xml:space="preserve"> функций и </w:t>
      </w:r>
      <w:r w:rsidR="00310359" w:rsidRPr="003F6E95">
        <w:rPr>
          <w:rFonts w:ascii="Times New Roman" w:hAnsi="Times New Roman" w:cs="Times New Roman"/>
          <w:sz w:val="27"/>
          <w:szCs w:val="27"/>
        </w:rPr>
        <w:lastRenderedPageBreak/>
        <w:t>полномочий подразделений</w:t>
      </w:r>
      <w:r w:rsidRPr="003F6E95">
        <w:rPr>
          <w:rFonts w:ascii="Times New Roman" w:hAnsi="Times New Roman" w:cs="Times New Roman"/>
          <w:sz w:val="27"/>
          <w:szCs w:val="27"/>
        </w:rPr>
        <w:t>,</w:t>
      </w:r>
      <w:r w:rsidR="00310359" w:rsidRPr="003F6E95">
        <w:rPr>
          <w:rFonts w:ascii="Times New Roman" w:hAnsi="Times New Roman" w:cs="Times New Roman"/>
          <w:sz w:val="27"/>
          <w:szCs w:val="27"/>
        </w:rPr>
        <w:t xml:space="preserve"> формировать коллегиальные органы, на основе которых будут приниматься решения по рискам. </w:t>
      </w:r>
      <w:r w:rsidR="008A0A70" w:rsidRPr="003F6E95">
        <w:rPr>
          <w:rFonts w:ascii="Times New Roman" w:hAnsi="Times New Roman" w:cs="Times New Roman"/>
          <w:sz w:val="27"/>
          <w:szCs w:val="27"/>
        </w:rPr>
        <w:t xml:space="preserve">В </w:t>
      </w:r>
      <w:r w:rsidR="00C06FC3" w:rsidRPr="003F6E95">
        <w:rPr>
          <w:rFonts w:ascii="Times New Roman" w:hAnsi="Times New Roman" w:cs="Times New Roman"/>
          <w:sz w:val="27"/>
          <w:szCs w:val="27"/>
        </w:rPr>
        <w:t>Фонде</w:t>
      </w:r>
      <w:r w:rsidR="008A0A70" w:rsidRPr="003F6E95">
        <w:rPr>
          <w:rFonts w:ascii="Times New Roman" w:hAnsi="Times New Roman" w:cs="Times New Roman"/>
          <w:sz w:val="27"/>
          <w:szCs w:val="27"/>
        </w:rPr>
        <w:t xml:space="preserve">, </w:t>
      </w:r>
      <w:r w:rsidR="005769EF" w:rsidRPr="003F6E95">
        <w:rPr>
          <w:rFonts w:ascii="Times New Roman" w:hAnsi="Times New Roman" w:cs="Times New Roman"/>
          <w:sz w:val="27"/>
          <w:szCs w:val="27"/>
        </w:rPr>
        <w:t>следует</w:t>
      </w:r>
      <w:r w:rsidR="008A0A70" w:rsidRPr="003F6E95">
        <w:rPr>
          <w:rFonts w:ascii="Times New Roman" w:hAnsi="Times New Roman" w:cs="Times New Roman"/>
          <w:sz w:val="27"/>
          <w:szCs w:val="27"/>
        </w:rPr>
        <w:t xml:space="preserve"> регулярно проводить стресс-тестирование, </w:t>
      </w:r>
      <w:r w:rsidR="001374B5" w:rsidRPr="003F6E95">
        <w:rPr>
          <w:rFonts w:ascii="Times New Roman" w:hAnsi="Times New Roman" w:cs="Times New Roman"/>
          <w:sz w:val="27"/>
          <w:szCs w:val="27"/>
        </w:rPr>
        <w:t>с целью выявления «слабых мест» инвестиционной стратегии и процесса управления рисками.</w:t>
      </w:r>
      <w:r w:rsidR="008A0A70" w:rsidRPr="003F6E95">
        <w:rPr>
          <w:rFonts w:ascii="Times New Roman" w:hAnsi="Times New Roman" w:cs="Times New Roman"/>
          <w:sz w:val="27"/>
          <w:szCs w:val="27"/>
        </w:rPr>
        <w:t xml:space="preserve"> Результаты проведения </w:t>
      </w:r>
      <w:proofErr w:type="gramStart"/>
      <w:r w:rsidR="008A0A70" w:rsidRPr="003F6E95">
        <w:rPr>
          <w:rFonts w:ascii="Times New Roman" w:hAnsi="Times New Roman" w:cs="Times New Roman"/>
          <w:sz w:val="27"/>
          <w:szCs w:val="27"/>
        </w:rPr>
        <w:t>стресс-тестов</w:t>
      </w:r>
      <w:proofErr w:type="gramEnd"/>
      <w:r w:rsidR="008A0A70" w:rsidRPr="003F6E95">
        <w:rPr>
          <w:rFonts w:ascii="Times New Roman" w:hAnsi="Times New Roman" w:cs="Times New Roman"/>
          <w:sz w:val="27"/>
          <w:szCs w:val="27"/>
        </w:rPr>
        <w:t xml:space="preserve"> необходимо обсуждать</w:t>
      </w:r>
      <w:r w:rsidR="001374B5" w:rsidRPr="003F6E95">
        <w:rPr>
          <w:rFonts w:ascii="Times New Roman" w:hAnsi="Times New Roman" w:cs="Times New Roman"/>
          <w:sz w:val="27"/>
          <w:szCs w:val="27"/>
        </w:rPr>
        <w:t xml:space="preserve"> на заседаниях коллегиальных органов и</w:t>
      </w:r>
      <w:r w:rsidR="008A0A70" w:rsidRPr="003F6E95">
        <w:rPr>
          <w:rFonts w:ascii="Times New Roman" w:hAnsi="Times New Roman" w:cs="Times New Roman"/>
          <w:sz w:val="27"/>
          <w:szCs w:val="27"/>
        </w:rPr>
        <w:t xml:space="preserve"> с руководством Фонда. При формировании стрессовых сценариев, необходимо учитывать опыт предыдущих кризисов</w:t>
      </w:r>
      <w:r w:rsidR="009F32C8" w:rsidRPr="003F6E95">
        <w:rPr>
          <w:rFonts w:ascii="Times New Roman" w:hAnsi="Times New Roman" w:cs="Times New Roman"/>
          <w:sz w:val="27"/>
          <w:szCs w:val="27"/>
        </w:rPr>
        <w:t xml:space="preserve"> и</w:t>
      </w:r>
      <w:r w:rsidR="008A0A70" w:rsidRPr="003F6E95">
        <w:rPr>
          <w:rFonts w:ascii="Times New Roman" w:hAnsi="Times New Roman" w:cs="Times New Roman"/>
          <w:sz w:val="27"/>
          <w:szCs w:val="27"/>
        </w:rPr>
        <w:t xml:space="preserve"> </w:t>
      </w:r>
      <w:r w:rsidR="005769EF" w:rsidRPr="003F6E95">
        <w:rPr>
          <w:rFonts w:ascii="Times New Roman" w:hAnsi="Times New Roman" w:cs="Times New Roman"/>
          <w:sz w:val="27"/>
          <w:szCs w:val="27"/>
        </w:rPr>
        <w:t xml:space="preserve">специфику </w:t>
      </w:r>
      <w:r w:rsidR="009F32C8" w:rsidRPr="003F6E95">
        <w:rPr>
          <w:rFonts w:ascii="Times New Roman" w:hAnsi="Times New Roman" w:cs="Times New Roman"/>
          <w:sz w:val="27"/>
          <w:szCs w:val="27"/>
        </w:rPr>
        <w:t xml:space="preserve">текущей </w:t>
      </w:r>
      <w:r w:rsidR="005769EF" w:rsidRPr="003F6E95">
        <w:rPr>
          <w:rFonts w:ascii="Times New Roman" w:hAnsi="Times New Roman" w:cs="Times New Roman"/>
          <w:sz w:val="27"/>
          <w:szCs w:val="27"/>
        </w:rPr>
        <w:t>инвестиционной стратегии Фонда.</w:t>
      </w:r>
      <w:r w:rsidR="009F32C8" w:rsidRPr="003F6E95">
        <w:rPr>
          <w:rFonts w:ascii="Times New Roman" w:hAnsi="Times New Roman" w:cs="Times New Roman"/>
          <w:sz w:val="27"/>
          <w:szCs w:val="27"/>
        </w:rPr>
        <w:t xml:space="preserve"> Процедуры и функции системы </w:t>
      </w:r>
      <w:proofErr w:type="gramStart"/>
      <w:r w:rsidR="009F32C8" w:rsidRPr="003F6E95">
        <w:rPr>
          <w:rFonts w:ascii="Times New Roman" w:hAnsi="Times New Roman" w:cs="Times New Roman"/>
          <w:sz w:val="27"/>
          <w:szCs w:val="27"/>
        </w:rPr>
        <w:t>риск-менеджмент</w:t>
      </w:r>
      <w:r w:rsidR="001C1E43" w:rsidRPr="003F6E95">
        <w:rPr>
          <w:rFonts w:ascii="Times New Roman" w:hAnsi="Times New Roman" w:cs="Times New Roman"/>
          <w:sz w:val="27"/>
          <w:szCs w:val="27"/>
        </w:rPr>
        <w:t>а</w:t>
      </w:r>
      <w:proofErr w:type="gramEnd"/>
      <w:r w:rsidR="009F32C8" w:rsidRPr="003F6E95">
        <w:rPr>
          <w:rFonts w:ascii="Times New Roman" w:hAnsi="Times New Roman" w:cs="Times New Roman"/>
          <w:sz w:val="27"/>
          <w:szCs w:val="27"/>
        </w:rPr>
        <w:t xml:space="preserve"> следует регулярно тестировать, пересматривать и совершенствовать</w:t>
      </w:r>
      <w:r w:rsidR="00A211D7" w:rsidRPr="003F6E95">
        <w:rPr>
          <w:rFonts w:ascii="Times New Roman" w:hAnsi="Times New Roman" w:cs="Times New Roman"/>
          <w:sz w:val="27"/>
          <w:szCs w:val="27"/>
        </w:rPr>
        <w:t xml:space="preserve"> с учетом лучших международных практик управления рисками</w:t>
      </w:r>
      <w:r w:rsidR="009F32C8" w:rsidRPr="003F6E95">
        <w:rPr>
          <w:rFonts w:ascii="Times New Roman" w:hAnsi="Times New Roman" w:cs="Times New Roman"/>
          <w:sz w:val="27"/>
          <w:szCs w:val="27"/>
        </w:rPr>
        <w:t>.</w:t>
      </w:r>
    </w:p>
    <w:p w:rsidR="003F6E95" w:rsidRPr="003F6E95" w:rsidRDefault="003F6E95" w:rsidP="003F6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B2FC8" w:rsidRDefault="009344B0" w:rsidP="003F6E95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7"/>
          <w:szCs w:val="27"/>
        </w:rPr>
      </w:pPr>
      <w:r w:rsidRPr="003F6E95">
        <w:rPr>
          <w:rFonts w:ascii="Times New Roman" w:hAnsi="Times New Roman" w:cs="Times New Roman"/>
          <w:b/>
          <w:color w:val="auto"/>
          <w:sz w:val="27"/>
          <w:szCs w:val="27"/>
        </w:rPr>
        <w:t>Обзор</w:t>
      </w:r>
      <w:r w:rsidR="003A716D" w:rsidRPr="003F6E95">
        <w:rPr>
          <w:rFonts w:ascii="Times New Roman" w:hAnsi="Times New Roman" w:cs="Times New Roman"/>
          <w:b/>
          <w:color w:val="auto"/>
          <w:sz w:val="27"/>
          <w:szCs w:val="27"/>
        </w:rPr>
        <w:t xml:space="preserve"> о</w:t>
      </w:r>
      <w:r w:rsidR="000B2FC8" w:rsidRPr="003F6E95">
        <w:rPr>
          <w:rFonts w:ascii="Times New Roman" w:hAnsi="Times New Roman" w:cs="Times New Roman"/>
          <w:b/>
          <w:color w:val="auto"/>
          <w:sz w:val="27"/>
          <w:szCs w:val="27"/>
        </w:rPr>
        <w:t>сновны</w:t>
      </w:r>
      <w:r w:rsidR="003A716D" w:rsidRPr="003F6E95">
        <w:rPr>
          <w:rFonts w:ascii="Times New Roman" w:hAnsi="Times New Roman" w:cs="Times New Roman"/>
          <w:b/>
          <w:color w:val="auto"/>
          <w:sz w:val="27"/>
          <w:szCs w:val="27"/>
        </w:rPr>
        <w:t>х</w:t>
      </w:r>
      <w:r w:rsidR="000B2FC8" w:rsidRPr="003F6E95">
        <w:rPr>
          <w:rFonts w:ascii="Times New Roman" w:hAnsi="Times New Roman" w:cs="Times New Roman"/>
          <w:b/>
          <w:color w:val="auto"/>
          <w:sz w:val="27"/>
          <w:szCs w:val="27"/>
        </w:rPr>
        <w:t xml:space="preserve"> проблем инвестирования пенсионных средств в условиях кризиса</w:t>
      </w:r>
    </w:p>
    <w:p w:rsidR="003F6E95" w:rsidRPr="003F6E95" w:rsidRDefault="003F6E95" w:rsidP="003F6E95"/>
    <w:p w:rsidR="000B2FC8" w:rsidRPr="003F6E95" w:rsidRDefault="009C4FD7" w:rsidP="003F6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6E95">
        <w:rPr>
          <w:rFonts w:ascii="Times New Roman" w:hAnsi="Times New Roman" w:cs="Times New Roman"/>
          <w:sz w:val="27"/>
          <w:szCs w:val="27"/>
        </w:rPr>
        <w:t>И</w:t>
      </w:r>
      <w:r w:rsidR="0040768C" w:rsidRPr="003F6E95">
        <w:rPr>
          <w:rFonts w:ascii="Times New Roman" w:hAnsi="Times New Roman" w:cs="Times New Roman"/>
          <w:sz w:val="27"/>
          <w:szCs w:val="27"/>
        </w:rPr>
        <w:t>нвестировани</w:t>
      </w:r>
      <w:r w:rsidRPr="003F6E95">
        <w:rPr>
          <w:rFonts w:ascii="Times New Roman" w:hAnsi="Times New Roman" w:cs="Times New Roman"/>
          <w:sz w:val="27"/>
          <w:szCs w:val="27"/>
        </w:rPr>
        <w:t>е средств</w:t>
      </w:r>
      <w:r w:rsidR="0040768C" w:rsidRPr="003F6E95">
        <w:rPr>
          <w:rFonts w:ascii="Times New Roman" w:hAnsi="Times New Roman" w:cs="Times New Roman"/>
          <w:sz w:val="27"/>
          <w:szCs w:val="27"/>
        </w:rPr>
        <w:t xml:space="preserve"> </w:t>
      </w:r>
      <w:r w:rsidR="004754FF" w:rsidRPr="003F6E95">
        <w:rPr>
          <w:rFonts w:ascii="Times New Roman" w:hAnsi="Times New Roman" w:cs="Times New Roman"/>
          <w:sz w:val="27"/>
          <w:szCs w:val="27"/>
        </w:rPr>
        <w:t xml:space="preserve">пенсионных </w:t>
      </w:r>
      <w:r w:rsidRPr="003F6E95">
        <w:rPr>
          <w:rFonts w:ascii="Times New Roman" w:hAnsi="Times New Roman" w:cs="Times New Roman"/>
          <w:sz w:val="27"/>
          <w:szCs w:val="27"/>
        </w:rPr>
        <w:t xml:space="preserve">накоплений и размещения средств пенсионных резервов в условиях кризиса сопряжено с </w:t>
      </w:r>
      <w:r w:rsidR="000B2FC8" w:rsidRPr="003F6E95">
        <w:rPr>
          <w:rFonts w:ascii="Times New Roman" w:hAnsi="Times New Roman" w:cs="Times New Roman"/>
          <w:sz w:val="27"/>
          <w:szCs w:val="27"/>
        </w:rPr>
        <w:t>рядом трудностей, которые включают:</w:t>
      </w:r>
    </w:p>
    <w:p w:rsidR="00F327BF" w:rsidRPr="003F6E95" w:rsidRDefault="00F327BF" w:rsidP="003F6E95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3F6E95">
        <w:rPr>
          <w:rFonts w:ascii="Times New Roman" w:hAnsi="Times New Roman" w:cs="Times New Roman"/>
          <w:sz w:val="27"/>
          <w:szCs w:val="27"/>
        </w:rPr>
        <w:t xml:space="preserve">существенное ухудшение ликвидности фондового рынка (сложность </w:t>
      </w:r>
      <w:proofErr w:type="spellStart"/>
      <w:r w:rsidRPr="003F6E95">
        <w:rPr>
          <w:rFonts w:ascii="Times New Roman" w:hAnsi="Times New Roman" w:cs="Times New Roman"/>
          <w:sz w:val="27"/>
          <w:szCs w:val="27"/>
        </w:rPr>
        <w:t>аллокации</w:t>
      </w:r>
      <w:proofErr w:type="spellEnd"/>
      <w:r w:rsidRPr="003F6E95">
        <w:rPr>
          <w:rFonts w:ascii="Times New Roman" w:hAnsi="Times New Roman" w:cs="Times New Roman"/>
          <w:sz w:val="27"/>
          <w:szCs w:val="27"/>
        </w:rPr>
        <w:t xml:space="preserve"> активов с целью диверсификации и минимизации рисков);</w:t>
      </w:r>
    </w:p>
    <w:p w:rsidR="00F327BF" w:rsidRPr="003F6E95" w:rsidRDefault="00F327BF" w:rsidP="003F6E95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3F6E95">
        <w:rPr>
          <w:rFonts w:ascii="Times New Roman" w:hAnsi="Times New Roman" w:cs="Times New Roman"/>
          <w:sz w:val="27"/>
          <w:szCs w:val="27"/>
        </w:rPr>
        <w:t>существенное снижение котировок</w:t>
      </w:r>
      <w:r w:rsidR="00C31FE7" w:rsidRPr="003F6E95">
        <w:rPr>
          <w:rFonts w:ascii="Times New Roman" w:hAnsi="Times New Roman" w:cs="Times New Roman"/>
          <w:sz w:val="27"/>
          <w:szCs w:val="27"/>
        </w:rPr>
        <w:t xml:space="preserve"> большинства</w:t>
      </w:r>
      <w:r w:rsidRPr="003F6E95">
        <w:rPr>
          <w:rFonts w:ascii="Times New Roman" w:hAnsi="Times New Roman" w:cs="Times New Roman"/>
          <w:sz w:val="27"/>
          <w:szCs w:val="27"/>
        </w:rPr>
        <w:t xml:space="preserve"> ценных бумаг</w:t>
      </w:r>
      <w:r w:rsidR="00C31FE7" w:rsidRPr="003F6E95">
        <w:rPr>
          <w:rFonts w:ascii="Times New Roman" w:hAnsi="Times New Roman" w:cs="Times New Roman"/>
          <w:sz w:val="27"/>
          <w:szCs w:val="27"/>
        </w:rPr>
        <w:t xml:space="preserve"> (сложность выбора финансовых инструментов)</w:t>
      </w:r>
      <w:r w:rsidRPr="003F6E95">
        <w:rPr>
          <w:rFonts w:ascii="Times New Roman" w:hAnsi="Times New Roman" w:cs="Times New Roman"/>
          <w:sz w:val="27"/>
          <w:szCs w:val="27"/>
        </w:rPr>
        <w:t>;</w:t>
      </w:r>
    </w:p>
    <w:p w:rsidR="00F327BF" w:rsidRPr="003F6E95" w:rsidRDefault="00F327BF" w:rsidP="003F6E95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3F6E95">
        <w:rPr>
          <w:rFonts w:ascii="Times New Roman" w:hAnsi="Times New Roman" w:cs="Times New Roman"/>
          <w:sz w:val="27"/>
          <w:szCs w:val="27"/>
        </w:rPr>
        <w:t>ухудшение краткосрочной ликвидности кредитных организаций (</w:t>
      </w:r>
      <w:r w:rsidR="00C31FE7" w:rsidRPr="003F6E95">
        <w:rPr>
          <w:rFonts w:ascii="Times New Roman" w:hAnsi="Times New Roman" w:cs="Times New Roman"/>
          <w:sz w:val="27"/>
          <w:szCs w:val="27"/>
        </w:rPr>
        <w:t>увелич</w:t>
      </w:r>
      <w:r w:rsidR="00A218EF" w:rsidRPr="003F6E95">
        <w:rPr>
          <w:rFonts w:ascii="Times New Roman" w:hAnsi="Times New Roman" w:cs="Times New Roman"/>
          <w:sz w:val="27"/>
          <w:szCs w:val="27"/>
        </w:rPr>
        <w:t>ение</w:t>
      </w:r>
      <w:r w:rsidR="00C31FE7" w:rsidRPr="003F6E95">
        <w:rPr>
          <w:rFonts w:ascii="Times New Roman" w:hAnsi="Times New Roman" w:cs="Times New Roman"/>
          <w:sz w:val="27"/>
          <w:szCs w:val="27"/>
        </w:rPr>
        <w:t xml:space="preserve"> </w:t>
      </w:r>
      <w:r w:rsidR="00A218EF" w:rsidRPr="003F6E95">
        <w:rPr>
          <w:rFonts w:ascii="Times New Roman" w:hAnsi="Times New Roman" w:cs="Times New Roman"/>
          <w:sz w:val="27"/>
          <w:szCs w:val="27"/>
        </w:rPr>
        <w:t xml:space="preserve">вероятности дефолта </w:t>
      </w:r>
      <w:r w:rsidR="00C31FE7" w:rsidRPr="003F6E95">
        <w:rPr>
          <w:rFonts w:ascii="Times New Roman" w:hAnsi="Times New Roman" w:cs="Times New Roman"/>
          <w:sz w:val="27"/>
          <w:szCs w:val="27"/>
        </w:rPr>
        <w:t>кредитны</w:t>
      </w:r>
      <w:r w:rsidR="00A218EF" w:rsidRPr="003F6E95">
        <w:rPr>
          <w:rFonts w:ascii="Times New Roman" w:hAnsi="Times New Roman" w:cs="Times New Roman"/>
          <w:sz w:val="27"/>
          <w:szCs w:val="27"/>
        </w:rPr>
        <w:t>х</w:t>
      </w:r>
      <w:r w:rsidR="00C31FE7" w:rsidRPr="003F6E95">
        <w:rPr>
          <w:rFonts w:ascii="Times New Roman" w:hAnsi="Times New Roman" w:cs="Times New Roman"/>
          <w:sz w:val="27"/>
          <w:szCs w:val="27"/>
        </w:rPr>
        <w:t xml:space="preserve"> </w:t>
      </w:r>
      <w:r w:rsidR="00A218EF" w:rsidRPr="003F6E95">
        <w:rPr>
          <w:rFonts w:ascii="Times New Roman" w:hAnsi="Times New Roman" w:cs="Times New Roman"/>
          <w:sz w:val="27"/>
          <w:szCs w:val="27"/>
        </w:rPr>
        <w:t>организаций</w:t>
      </w:r>
      <w:r w:rsidRPr="003F6E95">
        <w:rPr>
          <w:rFonts w:ascii="Times New Roman" w:hAnsi="Times New Roman" w:cs="Times New Roman"/>
          <w:sz w:val="27"/>
          <w:szCs w:val="27"/>
        </w:rPr>
        <w:t>);</w:t>
      </w:r>
    </w:p>
    <w:p w:rsidR="000B2FC8" w:rsidRPr="003F6E95" w:rsidRDefault="000B2FC8" w:rsidP="003F6E95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3F6E95">
        <w:rPr>
          <w:rFonts w:ascii="Times New Roman" w:hAnsi="Times New Roman" w:cs="Times New Roman"/>
          <w:sz w:val="27"/>
          <w:szCs w:val="27"/>
        </w:rPr>
        <w:t>ухудшение точности оценок рисков, основанных на предположениях</w:t>
      </w:r>
      <w:r w:rsidR="004C7838" w:rsidRPr="003F6E95">
        <w:rPr>
          <w:rFonts w:ascii="Times New Roman" w:hAnsi="Times New Roman" w:cs="Times New Roman"/>
          <w:sz w:val="27"/>
          <w:szCs w:val="27"/>
        </w:rPr>
        <w:t xml:space="preserve"> «</w:t>
      </w:r>
      <w:r w:rsidRPr="003F6E95">
        <w:rPr>
          <w:rFonts w:ascii="Times New Roman" w:hAnsi="Times New Roman" w:cs="Times New Roman"/>
          <w:sz w:val="27"/>
          <w:szCs w:val="27"/>
        </w:rPr>
        <w:t>нормально</w:t>
      </w:r>
      <w:r w:rsidR="004C7838" w:rsidRPr="003F6E95">
        <w:rPr>
          <w:rFonts w:ascii="Times New Roman" w:hAnsi="Times New Roman" w:cs="Times New Roman"/>
          <w:sz w:val="27"/>
          <w:szCs w:val="27"/>
        </w:rPr>
        <w:t>го» поведения</w:t>
      </w:r>
      <w:r w:rsidRPr="003F6E95">
        <w:rPr>
          <w:rFonts w:ascii="Times New Roman" w:hAnsi="Times New Roman" w:cs="Times New Roman"/>
          <w:sz w:val="27"/>
          <w:szCs w:val="27"/>
        </w:rPr>
        <w:t xml:space="preserve"> рынк</w:t>
      </w:r>
      <w:r w:rsidR="004C7838" w:rsidRPr="003F6E95">
        <w:rPr>
          <w:rFonts w:ascii="Times New Roman" w:hAnsi="Times New Roman" w:cs="Times New Roman"/>
          <w:sz w:val="27"/>
          <w:szCs w:val="27"/>
        </w:rPr>
        <w:t xml:space="preserve">а (увеличения корреляции между различными финансовыми инструментами, </w:t>
      </w:r>
      <w:r w:rsidR="0049722A" w:rsidRPr="003F6E95">
        <w:rPr>
          <w:rFonts w:ascii="Times New Roman" w:hAnsi="Times New Roman" w:cs="Times New Roman"/>
          <w:sz w:val="27"/>
          <w:szCs w:val="27"/>
        </w:rPr>
        <w:t>не выполнения предположения о нормальном распределении (распределении Гаусса) доходностей ценных бумаг</w:t>
      </w:r>
      <w:r w:rsidR="00BA182A" w:rsidRPr="003F6E95">
        <w:rPr>
          <w:rFonts w:ascii="Times New Roman" w:hAnsi="Times New Roman" w:cs="Times New Roman"/>
          <w:sz w:val="27"/>
          <w:szCs w:val="27"/>
        </w:rPr>
        <w:t xml:space="preserve"> и др.</w:t>
      </w:r>
      <w:r w:rsidR="004C7838" w:rsidRPr="003F6E95">
        <w:rPr>
          <w:rFonts w:ascii="Times New Roman" w:hAnsi="Times New Roman" w:cs="Times New Roman"/>
          <w:sz w:val="27"/>
          <w:szCs w:val="27"/>
        </w:rPr>
        <w:t>)</w:t>
      </w:r>
      <w:r w:rsidRPr="003F6E95">
        <w:rPr>
          <w:rFonts w:ascii="Times New Roman" w:hAnsi="Times New Roman" w:cs="Times New Roman"/>
          <w:sz w:val="27"/>
          <w:szCs w:val="27"/>
        </w:rPr>
        <w:t>;</w:t>
      </w:r>
    </w:p>
    <w:p w:rsidR="001E781A" w:rsidRPr="003F6E95" w:rsidRDefault="001E781A" w:rsidP="003F6E95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3F6E95">
        <w:rPr>
          <w:rFonts w:ascii="Times New Roman" w:hAnsi="Times New Roman" w:cs="Times New Roman"/>
          <w:sz w:val="27"/>
          <w:szCs w:val="27"/>
        </w:rPr>
        <w:t>ухудшение точности оценок кредитного качества кредитных организаций и эмитентов долговых финансовых инструментов;</w:t>
      </w:r>
    </w:p>
    <w:p w:rsidR="00F327BF" w:rsidRPr="003F6E95" w:rsidRDefault="00F327BF" w:rsidP="003F6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6E95">
        <w:rPr>
          <w:rFonts w:ascii="Times New Roman" w:hAnsi="Times New Roman" w:cs="Times New Roman"/>
          <w:sz w:val="27"/>
          <w:szCs w:val="27"/>
        </w:rPr>
        <w:t>Отсутствие</w:t>
      </w:r>
      <w:r w:rsidR="00C31FE7" w:rsidRPr="003F6E95">
        <w:rPr>
          <w:rFonts w:ascii="Times New Roman" w:hAnsi="Times New Roman" w:cs="Times New Roman"/>
          <w:sz w:val="27"/>
          <w:szCs w:val="27"/>
        </w:rPr>
        <w:t xml:space="preserve"> (недостаточное количество)</w:t>
      </w:r>
      <w:r w:rsidRPr="003F6E95">
        <w:rPr>
          <w:rFonts w:ascii="Times New Roman" w:hAnsi="Times New Roman" w:cs="Times New Roman"/>
          <w:sz w:val="27"/>
          <w:szCs w:val="27"/>
        </w:rPr>
        <w:t xml:space="preserve"> инструментов позволяющих эффективно хеджировать рыночные, кредитные и риски ликвидности </w:t>
      </w:r>
      <w:r w:rsidR="00D76DB8" w:rsidRPr="003F6E95">
        <w:rPr>
          <w:rFonts w:ascii="Times New Roman" w:hAnsi="Times New Roman" w:cs="Times New Roman"/>
          <w:sz w:val="27"/>
          <w:szCs w:val="27"/>
        </w:rPr>
        <w:t>(в том числе по причине</w:t>
      </w:r>
      <w:r w:rsidR="00A218EF" w:rsidRPr="003F6E95">
        <w:rPr>
          <w:rFonts w:ascii="Times New Roman" w:hAnsi="Times New Roman" w:cs="Times New Roman"/>
          <w:sz w:val="27"/>
          <w:szCs w:val="27"/>
        </w:rPr>
        <w:t xml:space="preserve"> не удовлетворения таких инструментов требованиям, предъявляемым к составу и структуре пенсионных портфелей законодательными и нормативными </w:t>
      </w:r>
      <w:r w:rsidR="00A218EF" w:rsidRPr="003F6E95">
        <w:rPr>
          <w:rFonts w:ascii="Times New Roman" w:hAnsi="Times New Roman" w:cs="Times New Roman"/>
          <w:sz w:val="27"/>
          <w:szCs w:val="27"/>
        </w:rPr>
        <w:lastRenderedPageBreak/>
        <w:t>документами Российской Федерации</w:t>
      </w:r>
      <w:r w:rsidR="00D76DB8" w:rsidRPr="003F6E95">
        <w:rPr>
          <w:rFonts w:ascii="Times New Roman" w:hAnsi="Times New Roman" w:cs="Times New Roman"/>
          <w:sz w:val="27"/>
          <w:szCs w:val="27"/>
        </w:rPr>
        <w:t xml:space="preserve">) </w:t>
      </w:r>
      <w:r w:rsidRPr="003F6E95">
        <w:rPr>
          <w:rFonts w:ascii="Times New Roman" w:hAnsi="Times New Roman" w:cs="Times New Roman"/>
          <w:sz w:val="27"/>
          <w:szCs w:val="27"/>
        </w:rPr>
        <w:t xml:space="preserve">усугубляет </w:t>
      </w:r>
      <w:r w:rsidR="004C4641" w:rsidRPr="003F6E95">
        <w:rPr>
          <w:rFonts w:ascii="Times New Roman" w:hAnsi="Times New Roman" w:cs="Times New Roman"/>
          <w:sz w:val="27"/>
          <w:szCs w:val="27"/>
        </w:rPr>
        <w:t>негативное влияние</w:t>
      </w:r>
      <w:r w:rsidR="006B392C" w:rsidRPr="003F6E95">
        <w:rPr>
          <w:rFonts w:ascii="Times New Roman" w:hAnsi="Times New Roman" w:cs="Times New Roman"/>
          <w:sz w:val="27"/>
          <w:szCs w:val="27"/>
        </w:rPr>
        <w:t xml:space="preserve"> кризиса</w:t>
      </w:r>
      <w:r w:rsidR="00A218EF" w:rsidRPr="003F6E95">
        <w:rPr>
          <w:rFonts w:ascii="Times New Roman" w:hAnsi="Times New Roman" w:cs="Times New Roman"/>
          <w:sz w:val="27"/>
          <w:szCs w:val="27"/>
        </w:rPr>
        <w:t xml:space="preserve"> на доходность</w:t>
      </w:r>
      <w:r w:rsidR="004C4641" w:rsidRPr="003F6E95">
        <w:rPr>
          <w:rFonts w:ascii="Times New Roman" w:hAnsi="Times New Roman" w:cs="Times New Roman"/>
          <w:sz w:val="27"/>
          <w:szCs w:val="27"/>
        </w:rPr>
        <w:t xml:space="preserve"> пенсионных резервов и пенсионных накоплений</w:t>
      </w:r>
      <w:r w:rsidRPr="003F6E95">
        <w:rPr>
          <w:rFonts w:ascii="Times New Roman" w:hAnsi="Times New Roman" w:cs="Times New Roman"/>
          <w:sz w:val="27"/>
          <w:szCs w:val="27"/>
        </w:rPr>
        <w:t>.</w:t>
      </w:r>
    </w:p>
    <w:p w:rsidR="008432B7" w:rsidRDefault="008432B7" w:rsidP="003F6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6E95">
        <w:rPr>
          <w:rFonts w:ascii="Times New Roman" w:hAnsi="Times New Roman" w:cs="Times New Roman"/>
          <w:sz w:val="27"/>
          <w:szCs w:val="27"/>
        </w:rPr>
        <w:t>Рассмотрим сложности инвестирования пенсионных средств на примере основных финансовых инструментов, разрешенных законодательством РФ.</w:t>
      </w:r>
    </w:p>
    <w:p w:rsidR="003F6E95" w:rsidRPr="003F6E95" w:rsidRDefault="003F6E95" w:rsidP="003F6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232B1" w:rsidRDefault="004754FF" w:rsidP="003F6E9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3F6E95">
        <w:rPr>
          <w:rFonts w:ascii="Times New Roman" w:hAnsi="Times New Roman" w:cs="Times New Roman"/>
          <w:i/>
          <w:sz w:val="27"/>
          <w:szCs w:val="27"/>
        </w:rPr>
        <w:t>Акции.</w:t>
      </w:r>
    </w:p>
    <w:p w:rsidR="003F6E95" w:rsidRPr="003F6E95" w:rsidRDefault="003F6E95" w:rsidP="003F6E9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1E781A" w:rsidRPr="003F6E95" w:rsidRDefault="001E781A" w:rsidP="003F6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6E95">
        <w:rPr>
          <w:rFonts w:ascii="Times New Roman" w:hAnsi="Times New Roman" w:cs="Times New Roman"/>
          <w:sz w:val="27"/>
          <w:szCs w:val="27"/>
        </w:rPr>
        <w:t xml:space="preserve">В условиях кризиса, корреляция между </w:t>
      </w:r>
      <w:r w:rsidR="008524BD" w:rsidRPr="003F6E95">
        <w:rPr>
          <w:rFonts w:ascii="Times New Roman" w:hAnsi="Times New Roman" w:cs="Times New Roman"/>
          <w:sz w:val="27"/>
          <w:szCs w:val="27"/>
        </w:rPr>
        <w:t xml:space="preserve">котировками </w:t>
      </w:r>
      <w:r w:rsidRPr="003F6E95">
        <w:rPr>
          <w:rFonts w:ascii="Times New Roman" w:hAnsi="Times New Roman" w:cs="Times New Roman"/>
          <w:sz w:val="27"/>
          <w:szCs w:val="27"/>
        </w:rPr>
        <w:t>акций существенно увеличивается</w:t>
      </w:r>
      <w:r w:rsidR="00C31FE7" w:rsidRPr="003F6E95">
        <w:rPr>
          <w:rStyle w:val="a9"/>
          <w:rFonts w:ascii="Times New Roman" w:hAnsi="Times New Roman" w:cs="Times New Roman"/>
          <w:sz w:val="27"/>
          <w:szCs w:val="27"/>
        </w:rPr>
        <w:footnoteReference w:id="1"/>
      </w:r>
      <w:r w:rsidRPr="003F6E95">
        <w:rPr>
          <w:rFonts w:ascii="Times New Roman" w:hAnsi="Times New Roman" w:cs="Times New Roman"/>
          <w:sz w:val="27"/>
          <w:szCs w:val="27"/>
        </w:rPr>
        <w:t>, что делает стратегии, основанные на диверсификации портфеля акций неэффективными. Падение индекса, в условиях оттока капитала</w:t>
      </w:r>
      <w:r w:rsidR="007F04C8" w:rsidRPr="003F6E95">
        <w:rPr>
          <w:rFonts w:ascii="Times New Roman" w:hAnsi="Times New Roman" w:cs="Times New Roman"/>
          <w:sz w:val="27"/>
          <w:szCs w:val="27"/>
        </w:rPr>
        <w:t xml:space="preserve"> и увеличенной корреляции</w:t>
      </w:r>
      <w:r w:rsidRPr="003F6E95">
        <w:rPr>
          <w:rFonts w:ascii="Times New Roman" w:hAnsi="Times New Roman" w:cs="Times New Roman"/>
          <w:sz w:val="27"/>
          <w:szCs w:val="27"/>
        </w:rPr>
        <w:t xml:space="preserve">, приводит к потерям по данному виду вложений. Увеличение волатильности котировок приводит к существенному увеличению показателя </w:t>
      </w:r>
      <w:r w:rsidRPr="003F6E95">
        <w:rPr>
          <w:rFonts w:ascii="Times New Roman" w:hAnsi="Times New Roman" w:cs="Times New Roman"/>
          <w:sz w:val="27"/>
          <w:szCs w:val="27"/>
          <w:lang w:val="en-US"/>
        </w:rPr>
        <w:t>VAR</w:t>
      </w:r>
      <w:r w:rsidRPr="003F6E95">
        <w:rPr>
          <w:rFonts w:ascii="Times New Roman" w:hAnsi="Times New Roman" w:cs="Times New Roman"/>
          <w:sz w:val="27"/>
          <w:szCs w:val="27"/>
        </w:rPr>
        <w:t xml:space="preserve"> (</w:t>
      </w:r>
      <w:r w:rsidRPr="003F6E95">
        <w:rPr>
          <w:rFonts w:ascii="Times New Roman" w:hAnsi="Times New Roman" w:cs="Times New Roman"/>
          <w:sz w:val="27"/>
          <w:szCs w:val="27"/>
          <w:lang w:val="en-US"/>
        </w:rPr>
        <w:t>Value</w:t>
      </w:r>
      <w:r w:rsidRPr="003F6E95">
        <w:rPr>
          <w:rFonts w:ascii="Times New Roman" w:hAnsi="Times New Roman" w:cs="Times New Roman"/>
          <w:sz w:val="27"/>
          <w:szCs w:val="27"/>
        </w:rPr>
        <w:t xml:space="preserve"> </w:t>
      </w:r>
      <w:r w:rsidRPr="003F6E95">
        <w:rPr>
          <w:rFonts w:ascii="Times New Roman" w:hAnsi="Times New Roman" w:cs="Times New Roman"/>
          <w:sz w:val="27"/>
          <w:szCs w:val="27"/>
          <w:lang w:val="en-US"/>
        </w:rPr>
        <w:t>at</w:t>
      </w:r>
      <w:r w:rsidRPr="003F6E95">
        <w:rPr>
          <w:rFonts w:ascii="Times New Roman" w:hAnsi="Times New Roman" w:cs="Times New Roman"/>
          <w:sz w:val="27"/>
          <w:szCs w:val="27"/>
        </w:rPr>
        <w:t xml:space="preserve"> </w:t>
      </w:r>
      <w:r w:rsidRPr="003F6E95">
        <w:rPr>
          <w:rFonts w:ascii="Times New Roman" w:hAnsi="Times New Roman" w:cs="Times New Roman"/>
          <w:sz w:val="27"/>
          <w:szCs w:val="27"/>
          <w:lang w:val="en-US"/>
        </w:rPr>
        <w:t>Risk</w:t>
      </w:r>
      <w:r w:rsidRPr="003F6E95">
        <w:rPr>
          <w:rFonts w:ascii="Times New Roman" w:hAnsi="Times New Roman" w:cs="Times New Roman"/>
          <w:sz w:val="27"/>
          <w:szCs w:val="27"/>
        </w:rPr>
        <w:t xml:space="preserve">) </w:t>
      </w:r>
      <w:r w:rsidR="008524BD" w:rsidRPr="003F6E95">
        <w:rPr>
          <w:rFonts w:ascii="Times New Roman" w:hAnsi="Times New Roman" w:cs="Times New Roman"/>
          <w:sz w:val="27"/>
          <w:szCs w:val="27"/>
        </w:rPr>
        <w:t>и закрытию позиций</w:t>
      </w:r>
      <w:r w:rsidR="007F04C8" w:rsidRPr="003F6E95">
        <w:rPr>
          <w:rFonts w:ascii="Times New Roman" w:hAnsi="Times New Roman" w:cs="Times New Roman"/>
          <w:sz w:val="27"/>
          <w:szCs w:val="27"/>
        </w:rPr>
        <w:t>, превышающих</w:t>
      </w:r>
      <w:r w:rsidR="008524BD" w:rsidRPr="003F6E95">
        <w:rPr>
          <w:rFonts w:ascii="Times New Roman" w:hAnsi="Times New Roman" w:cs="Times New Roman"/>
          <w:sz w:val="27"/>
          <w:szCs w:val="27"/>
        </w:rPr>
        <w:t xml:space="preserve"> лимит</w:t>
      </w:r>
      <w:r w:rsidR="007F04C8" w:rsidRPr="003F6E95">
        <w:rPr>
          <w:rFonts w:ascii="Times New Roman" w:hAnsi="Times New Roman" w:cs="Times New Roman"/>
          <w:sz w:val="27"/>
          <w:szCs w:val="27"/>
        </w:rPr>
        <w:t>ы</w:t>
      </w:r>
      <w:r w:rsidR="008524BD" w:rsidRPr="003F6E95">
        <w:rPr>
          <w:rFonts w:ascii="Times New Roman" w:hAnsi="Times New Roman" w:cs="Times New Roman"/>
          <w:sz w:val="27"/>
          <w:szCs w:val="27"/>
        </w:rPr>
        <w:t xml:space="preserve"> по рискам (в случае наличия таких лимитов). </w:t>
      </w:r>
      <w:r w:rsidR="007F04C8" w:rsidRPr="003F6E95">
        <w:rPr>
          <w:rFonts w:ascii="Times New Roman" w:hAnsi="Times New Roman" w:cs="Times New Roman"/>
          <w:sz w:val="27"/>
          <w:szCs w:val="27"/>
        </w:rPr>
        <w:t>Эффективных и</w:t>
      </w:r>
      <w:r w:rsidR="00C97497" w:rsidRPr="003F6E95">
        <w:rPr>
          <w:rFonts w:ascii="Times New Roman" w:hAnsi="Times New Roman" w:cs="Times New Roman"/>
          <w:sz w:val="27"/>
          <w:szCs w:val="27"/>
        </w:rPr>
        <w:t xml:space="preserve">нструментов хеджирования </w:t>
      </w:r>
      <w:r w:rsidR="007F04C8" w:rsidRPr="003F6E95">
        <w:rPr>
          <w:rFonts w:ascii="Times New Roman" w:hAnsi="Times New Roman" w:cs="Times New Roman"/>
          <w:sz w:val="27"/>
          <w:szCs w:val="27"/>
        </w:rPr>
        <w:t xml:space="preserve">фондового риска </w:t>
      </w:r>
      <w:r w:rsidR="00C97497" w:rsidRPr="003F6E95">
        <w:rPr>
          <w:rFonts w:ascii="Times New Roman" w:hAnsi="Times New Roman" w:cs="Times New Roman"/>
          <w:sz w:val="27"/>
          <w:szCs w:val="27"/>
        </w:rPr>
        <w:t>на российском рынке не имеется. Хеджирование позици</w:t>
      </w:r>
      <w:r w:rsidR="00916A7D" w:rsidRPr="003F6E95">
        <w:rPr>
          <w:rFonts w:ascii="Times New Roman" w:hAnsi="Times New Roman" w:cs="Times New Roman"/>
          <w:sz w:val="27"/>
          <w:szCs w:val="27"/>
        </w:rPr>
        <w:t>й</w:t>
      </w:r>
      <w:r w:rsidR="00C97497" w:rsidRPr="003F6E95">
        <w:rPr>
          <w:rFonts w:ascii="Times New Roman" w:hAnsi="Times New Roman" w:cs="Times New Roman"/>
          <w:sz w:val="27"/>
          <w:szCs w:val="27"/>
        </w:rPr>
        <w:t xml:space="preserve"> фьючерсами является затруднительным, поскольку данные инструменты </w:t>
      </w:r>
      <w:r w:rsidR="001E300A" w:rsidRPr="003F6E95">
        <w:rPr>
          <w:rFonts w:ascii="Times New Roman" w:hAnsi="Times New Roman" w:cs="Times New Roman"/>
          <w:sz w:val="27"/>
          <w:szCs w:val="27"/>
        </w:rPr>
        <w:t>недостаточно</w:t>
      </w:r>
      <w:r w:rsidR="00C97497" w:rsidRPr="003F6E95">
        <w:rPr>
          <w:rFonts w:ascii="Times New Roman" w:hAnsi="Times New Roman" w:cs="Times New Roman"/>
          <w:sz w:val="27"/>
          <w:szCs w:val="27"/>
        </w:rPr>
        <w:t xml:space="preserve"> развиты на Российском рынке</w:t>
      </w:r>
      <w:r w:rsidR="001E300A" w:rsidRPr="003F6E95">
        <w:rPr>
          <w:rFonts w:ascii="Times New Roman" w:hAnsi="Times New Roman" w:cs="Times New Roman"/>
          <w:sz w:val="27"/>
          <w:szCs w:val="27"/>
        </w:rPr>
        <w:t xml:space="preserve"> (количество инструментов ограничено)</w:t>
      </w:r>
      <w:r w:rsidR="00916A7D" w:rsidRPr="003F6E95">
        <w:rPr>
          <w:rFonts w:ascii="Times New Roman" w:hAnsi="Times New Roman" w:cs="Times New Roman"/>
          <w:sz w:val="27"/>
          <w:szCs w:val="27"/>
        </w:rPr>
        <w:t xml:space="preserve"> и</w:t>
      </w:r>
      <w:r w:rsidR="00C97497" w:rsidRPr="003F6E95">
        <w:rPr>
          <w:rFonts w:ascii="Times New Roman" w:hAnsi="Times New Roman" w:cs="Times New Roman"/>
          <w:sz w:val="27"/>
          <w:szCs w:val="27"/>
        </w:rPr>
        <w:t xml:space="preserve"> процесс хеджирования будет </w:t>
      </w:r>
      <w:r w:rsidR="007F04C8" w:rsidRPr="003F6E95">
        <w:rPr>
          <w:rFonts w:ascii="Times New Roman" w:hAnsi="Times New Roman" w:cs="Times New Roman"/>
          <w:sz w:val="27"/>
          <w:szCs w:val="27"/>
        </w:rPr>
        <w:t>сопровождаться</w:t>
      </w:r>
      <w:r w:rsidR="00C97497" w:rsidRPr="003F6E95">
        <w:rPr>
          <w:rFonts w:ascii="Times New Roman" w:hAnsi="Times New Roman" w:cs="Times New Roman"/>
          <w:sz w:val="27"/>
          <w:szCs w:val="27"/>
        </w:rPr>
        <w:t xml:space="preserve"> существенным базисным риском. </w:t>
      </w:r>
      <w:r w:rsidR="00845DAB" w:rsidRPr="003F6E95">
        <w:rPr>
          <w:rFonts w:ascii="Times New Roman" w:hAnsi="Times New Roman" w:cs="Times New Roman"/>
          <w:sz w:val="27"/>
          <w:szCs w:val="27"/>
        </w:rPr>
        <w:t xml:space="preserve">Приобретение опционов за </w:t>
      </w:r>
      <w:r w:rsidR="008E5197" w:rsidRPr="003F6E95">
        <w:rPr>
          <w:rFonts w:ascii="Times New Roman" w:hAnsi="Times New Roman" w:cs="Times New Roman"/>
          <w:sz w:val="27"/>
          <w:szCs w:val="27"/>
        </w:rPr>
        <w:t>с</w:t>
      </w:r>
      <w:r w:rsidR="00845DAB" w:rsidRPr="003F6E95">
        <w:rPr>
          <w:rFonts w:ascii="Times New Roman" w:hAnsi="Times New Roman" w:cs="Times New Roman"/>
          <w:sz w:val="27"/>
          <w:szCs w:val="27"/>
        </w:rPr>
        <w:t>чет пенсионных резервов и/или пенсионных накоплений нормативными и правовыми актами Российской Федерации запрещается.</w:t>
      </w:r>
    </w:p>
    <w:p w:rsidR="004754FF" w:rsidRPr="003F6E95" w:rsidRDefault="005B5E26" w:rsidP="003F6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6E95">
        <w:rPr>
          <w:rFonts w:ascii="Times New Roman" w:hAnsi="Times New Roman" w:cs="Times New Roman"/>
          <w:sz w:val="27"/>
          <w:szCs w:val="27"/>
        </w:rPr>
        <w:t>Рассмотрим влияние колебаний котировок фондового индекса ММВБ (</w:t>
      </w:r>
      <w:r w:rsidRPr="003F6E95">
        <w:rPr>
          <w:rFonts w:ascii="Times New Roman" w:eastAsiaTheme="minorEastAsia" w:hAnsi="Times New Roman" w:cs="Times New Roman"/>
          <w:sz w:val="27"/>
          <w:szCs w:val="27"/>
        </w:rPr>
        <w:t>MICEXINDEXCF</w:t>
      </w:r>
      <w:r w:rsidRPr="003F6E95">
        <w:rPr>
          <w:rFonts w:ascii="Times New Roman" w:hAnsi="Times New Roman" w:cs="Times New Roman"/>
          <w:sz w:val="27"/>
          <w:szCs w:val="27"/>
        </w:rPr>
        <w:t xml:space="preserve">) на портфель акций в 2014 году. </w:t>
      </w:r>
      <w:r w:rsidR="003B5D90" w:rsidRPr="003F6E95">
        <w:rPr>
          <w:rFonts w:ascii="Times New Roman" w:hAnsi="Times New Roman" w:cs="Times New Roman"/>
          <w:sz w:val="27"/>
          <w:szCs w:val="27"/>
        </w:rPr>
        <w:t xml:space="preserve">С этой целью, </w:t>
      </w:r>
      <w:r w:rsidR="00472051" w:rsidRPr="003F6E95">
        <w:rPr>
          <w:rFonts w:ascii="Times New Roman" w:hAnsi="Times New Roman" w:cs="Times New Roman"/>
          <w:sz w:val="27"/>
          <w:szCs w:val="27"/>
        </w:rPr>
        <w:t>сформируем</w:t>
      </w:r>
      <w:r w:rsidR="008524BD" w:rsidRPr="003F6E95">
        <w:rPr>
          <w:rFonts w:ascii="Times New Roman" w:hAnsi="Times New Roman" w:cs="Times New Roman"/>
          <w:sz w:val="27"/>
          <w:szCs w:val="27"/>
        </w:rPr>
        <w:t xml:space="preserve"> модельный портфель акций, состоящий </w:t>
      </w:r>
      <w:r w:rsidR="00004F73" w:rsidRPr="003F6E95">
        <w:rPr>
          <w:rFonts w:ascii="Times New Roman" w:hAnsi="Times New Roman" w:cs="Times New Roman"/>
          <w:sz w:val="27"/>
          <w:szCs w:val="27"/>
        </w:rPr>
        <w:t xml:space="preserve">из </w:t>
      </w:r>
      <w:r w:rsidR="008524BD" w:rsidRPr="003F6E95">
        <w:rPr>
          <w:rFonts w:ascii="Times New Roman" w:hAnsi="Times New Roman" w:cs="Times New Roman"/>
          <w:sz w:val="27"/>
          <w:szCs w:val="27"/>
        </w:rPr>
        <w:t>ценных</w:t>
      </w:r>
      <w:r w:rsidR="00004F73" w:rsidRPr="003F6E95">
        <w:rPr>
          <w:rFonts w:ascii="Times New Roman" w:hAnsi="Times New Roman" w:cs="Times New Roman"/>
          <w:sz w:val="27"/>
          <w:szCs w:val="27"/>
        </w:rPr>
        <w:t xml:space="preserve"> бумаг,</w:t>
      </w:r>
      <w:r w:rsidR="008524BD" w:rsidRPr="003F6E95">
        <w:rPr>
          <w:rFonts w:ascii="Times New Roman" w:hAnsi="Times New Roman" w:cs="Times New Roman"/>
          <w:sz w:val="27"/>
          <w:szCs w:val="27"/>
        </w:rPr>
        <w:t xml:space="preserve"> </w:t>
      </w:r>
      <w:r w:rsidR="00004F73" w:rsidRPr="003F6E95">
        <w:rPr>
          <w:rFonts w:ascii="Times New Roman" w:hAnsi="Times New Roman" w:cs="Times New Roman"/>
          <w:sz w:val="27"/>
          <w:szCs w:val="27"/>
        </w:rPr>
        <w:t xml:space="preserve">на основе которых Московская биржа ММВБ рассчитывает </w:t>
      </w:r>
      <w:proofErr w:type="spellStart"/>
      <w:r w:rsidR="00004F73" w:rsidRPr="003F6E95">
        <w:rPr>
          <w:rFonts w:ascii="Times New Roman" w:hAnsi="Times New Roman" w:cs="Times New Roman"/>
          <w:sz w:val="27"/>
          <w:szCs w:val="27"/>
        </w:rPr>
        <w:t>субиндекс</w:t>
      </w:r>
      <w:proofErr w:type="spellEnd"/>
      <w:r w:rsidR="00004F73" w:rsidRPr="003F6E95">
        <w:rPr>
          <w:rFonts w:ascii="Times New Roman" w:hAnsi="Times New Roman" w:cs="Times New Roman"/>
          <w:sz w:val="27"/>
          <w:szCs w:val="27"/>
        </w:rPr>
        <w:t xml:space="preserve"> акций индекс</w:t>
      </w:r>
      <w:r w:rsidR="006F177E" w:rsidRPr="003F6E95">
        <w:rPr>
          <w:rFonts w:ascii="Times New Roman" w:hAnsi="Times New Roman" w:cs="Times New Roman"/>
          <w:sz w:val="27"/>
          <w:szCs w:val="27"/>
        </w:rPr>
        <w:t>а</w:t>
      </w:r>
      <w:r w:rsidR="00004F73" w:rsidRPr="003F6E95">
        <w:rPr>
          <w:rFonts w:ascii="Times New Roman" w:hAnsi="Times New Roman" w:cs="Times New Roman"/>
          <w:sz w:val="27"/>
          <w:szCs w:val="27"/>
        </w:rPr>
        <w:t xml:space="preserve"> пенсионных накоплений</w:t>
      </w:r>
      <w:r w:rsidR="006F177E" w:rsidRPr="003F6E95">
        <w:rPr>
          <w:rFonts w:ascii="Times New Roman" w:hAnsi="Times New Roman" w:cs="Times New Roman"/>
          <w:sz w:val="27"/>
          <w:szCs w:val="27"/>
        </w:rPr>
        <w:t xml:space="preserve"> (</w:t>
      </w:r>
      <w:r w:rsidR="006F177E" w:rsidRPr="003F6E95">
        <w:rPr>
          <w:rFonts w:ascii="Times New Roman" w:hAnsi="Times New Roman" w:cs="Times New Roman"/>
          <w:sz w:val="27"/>
          <w:szCs w:val="27"/>
          <w:lang w:val="en-US"/>
        </w:rPr>
        <w:t>RUPAI</w:t>
      </w:r>
      <w:r w:rsidR="006F177E" w:rsidRPr="003F6E95">
        <w:rPr>
          <w:rFonts w:ascii="Times New Roman" w:hAnsi="Times New Roman" w:cs="Times New Roman"/>
          <w:sz w:val="27"/>
          <w:szCs w:val="27"/>
        </w:rPr>
        <w:t>).</w:t>
      </w:r>
      <w:r w:rsidR="00004F73" w:rsidRPr="003F6E95">
        <w:rPr>
          <w:rFonts w:ascii="Times New Roman" w:hAnsi="Times New Roman" w:cs="Times New Roman"/>
          <w:sz w:val="27"/>
          <w:szCs w:val="27"/>
        </w:rPr>
        <w:t xml:space="preserve"> </w:t>
      </w:r>
      <w:r w:rsidR="00916A7D" w:rsidRPr="003F6E95">
        <w:rPr>
          <w:rFonts w:ascii="Times New Roman" w:hAnsi="Times New Roman" w:cs="Times New Roman"/>
          <w:sz w:val="27"/>
          <w:szCs w:val="27"/>
        </w:rPr>
        <w:t>П</w:t>
      </w:r>
      <w:r w:rsidR="00004F73" w:rsidRPr="003F6E95">
        <w:rPr>
          <w:rFonts w:ascii="Times New Roman" w:hAnsi="Times New Roman" w:cs="Times New Roman"/>
          <w:sz w:val="27"/>
          <w:szCs w:val="27"/>
        </w:rPr>
        <w:t>редположим, что состав портфеля акций не меня</w:t>
      </w:r>
      <w:r w:rsidR="006F177E" w:rsidRPr="003F6E95">
        <w:rPr>
          <w:rFonts w:ascii="Times New Roman" w:hAnsi="Times New Roman" w:cs="Times New Roman"/>
          <w:sz w:val="27"/>
          <w:szCs w:val="27"/>
        </w:rPr>
        <w:t>ется</w:t>
      </w:r>
      <w:r w:rsidR="00916A7D" w:rsidRPr="003F6E95">
        <w:rPr>
          <w:rFonts w:ascii="Times New Roman" w:hAnsi="Times New Roman" w:cs="Times New Roman"/>
          <w:sz w:val="27"/>
          <w:szCs w:val="27"/>
        </w:rPr>
        <w:t xml:space="preserve">, а все акции </w:t>
      </w:r>
      <w:r w:rsidR="006F177E" w:rsidRPr="003F6E95">
        <w:rPr>
          <w:rFonts w:ascii="Times New Roman" w:hAnsi="Times New Roman" w:cs="Times New Roman"/>
          <w:sz w:val="27"/>
          <w:szCs w:val="27"/>
        </w:rPr>
        <w:t>приобретаются</w:t>
      </w:r>
      <w:r w:rsidR="00916A7D" w:rsidRPr="003F6E95">
        <w:rPr>
          <w:rFonts w:ascii="Times New Roman" w:hAnsi="Times New Roman" w:cs="Times New Roman"/>
          <w:sz w:val="27"/>
          <w:szCs w:val="27"/>
        </w:rPr>
        <w:t xml:space="preserve"> в один день </w:t>
      </w:r>
      <w:r w:rsidR="007F04C8" w:rsidRPr="003F6E95">
        <w:rPr>
          <w:rFonts w:ascii="Times New Roman" w:hAnsi="Times New Roman" w:cs="Times New Roman"/>
          <w:sz w:val="27"/>
          <w:szCs w:val="27"/>
        </w:rPr>
        <w:t>30</w:t>
      </w:r>
      <w:r w:rsidR="00916A7D" w:rsidRPr="003F6E95">
        <w:rPr>
          <w:rFonts w:ascii="Times New Roman" w:hAnsi="Times New Roman" w:cs="Times New Roman"/>
          <w:sz w:val="27"/>
          <w:szCs w:val="27"/>
        </w:rPr>
        <w:t>.</w:t>
      </w:r>
      <w:r w:rsidR="007F04C8" w:rsidRPr="003F6E95">
        <w:rPr>
          <w:rFonts w:ascii="Times New Roman" w:hAnsi="Times New Roman" w:cs="Times New Roman"/>
          <w:sz w:val="27"/>
          <w:szCs w:val="27"/>
        </w:rPr>
        <w:t>12</w:t>
      </w:r>
      <w:r w:rsidR="00916A7D" w:rsidRPr="003F6E95">
        <w:rPr>
          <w:rFonts w:ascii="Times New Roman" w:hAnsi="Times New Roman" w:cs="Times New Roman"/>
          <w:sz w:val="27"/>
          <w:szCs w:val="27"/>
        </w:rPr>
        <w:t>.201</w:t>
      </w:r>
      <w:r w:rsidR="007F04C8" w:rsidRPr="003F6E95">
        <w:rPr>
          <w:rFonts w:ascii="Times New Roman" w:hAnsi="Times New Roman" w:cs="Times New Roman"/>
          <w:sz w:val="27"/>
          <w:szCs w:val="27"/>
        </w:rPr>
        <w:t>3</w:t>
      </w:r>
      <w:r w:rsidR="00916A7D" w:rsidRPr="003F6E95">
        <w:rPr>
          <w:rFonts w:ascii="Times New Roman" w:hAnsi="Times New Roman" w:cs="Times New Roman"/>
          <w:sz w:val="27"/>
          <w:szCs w:val="27"/>
        </w:rPr>
        <w:t xml:space="preserve">г. в пропорции согласно весу в </w:t>
      </w:r>
      <w:proofErr w:type="spellStart"/>
      <w:r w:rsidR="00916A7D" w:rsidRPr="003F6E95">
        <w:rPr>
          <w:rFonts w:ascii="Times New Roman" w:hAnsi="Times New Roman" w:cs="Times New Roman"/>
          <w:sz w:val="27"/>
          <w:szCs w:val="27"/>
        </w:rPr>
        <w:t>субиндексе</w:t>
      </w:r>
      <w:proofErr w:type="spellEnd"/>
      <w:r w:rsidR="00916A7D" w:rsidRPr="003F6E95">
        <w:rPr>
          <w:rFonts w:ascii="Times New Roman" w:hAnsi="Times New Roman" w:cs="Times New Roman"/>
          <w:sz w:val="27"/>
          <w:szCs w:val="27"/>
        </w:rPr>
        <w:t xml:space="preserve"> акций </w:t>
      </w:r>
      <w:r w:rsidR="006F177E" w:rsidRPr="003F6E95">
        <w:rPr>
          <w:rFonts w:ascii="Times New Roman" w:hAnsi="Times New Roman" w:cs="Times New Roman"/>
          <w:sz w:val="27"/>
          <w:szCs w:val="27"/>
        </w:rPr>
        <w:t xml:space="preserve">(столбец </w:t>
      </w:r>
      <w:r w:rsidR="007F04C8" w:rsidRPr="003F6E95">
        <w:rPr>
          <w:rFonts w:ascii="Times New Roman" w:hAnsi="Times New Roman" w:cs="Times New Roman"/>
          <w:sz w:val="27"/>
          <w:szCs w:val="27"/>
        </w:rPr>
        <w:t xml:space="preserve">«Вес, %» </w:t>
      </w:r>
      <w:hyperlink r:id="rId10" w:history="1">
        <w:r w:rsidR="007F04C8" w:rsidRPr="003F6E95">
          <w:rPr>
            <w:rStyle w:val="a4"/>
            <w:rFonts w:ascii="Times New Roman" w:hAnsi="Times New Roman" w:cs="Times New Roman"/>
            <w:sz w:val="27"/>
            <w:szCs w:val="27"/>
          </w:rPr>
          <w:t>http://moex.com/a2432</w:t>
        </w:r>
      </w:hyperlink>
      <w:r w:rsidR="007F04C8" w:rsidRPr="003F6E95">
        <w:rPr>
          <w:rFonts w:ascii="Times New Roman" w:hAnsi="Times New Roman" w:cs="Times New Roman"/>
          <w:sz w:val="27"/>
          <w:szCs w:val="27"/>
        </w:rPr>
        <w:t xml:space="preserve"> списка ценных бумаг для расчета </w:t>
      </w:r>
      <w:proofErr w:type="spellStart"/>
      <w:r w:rsidR="007F04C8" w:rsidRPr="003F6E95">
        <w:rPr>
          <w:rFonts w:ascii="Times New Roman" w:hAnsi="Times New Roman" w:cs="Times New Roman"/>
          <w:sz w:val="27"/>
          <w:szCs w:val="27"/>
        </w:rPr>
        <w:t>субиндекса</w:t>
      </w:r>
      <w:proofErr w:type="spellEnd"/>
      <w:r w:rsidR="007F04C8" w:rsidRPr="003F6E95">
        <w:rPr>
          <w:rFonts w:ascii="Times New Roman" w:hAnsi="Times New Roman" w:cs="Times New Roman"/>
          <w:sz w:val="27"/>
          <w:szCs w:val="27"/>
        </w:rPr>
        <w:t xml:space="preserve"> акций с 17.12.2013г.</w:t>
      </w:r>
      <w:r w:rsidR="006F177E" w:rsidRPr="003F6E95">
        <w:rPr>
          <w:rFonts w:ascii="Times New Roman" w:hAnsi="Times New Roman" w:cs="Times New Roman"/>
          <w:sz w:val="27"/>
          <w:szCs w:val="27"/>
        </w:rPr>
        <w:t>)</w:t>
      </w:r>
      <w:r w:rsidR="00916A7D" w:rsidRPr="003F6E95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004F73" w:rsidRDefault="006F177E" w:rsidP="003F6E9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</w:rPr>
      </w:pPr>
      <w:r w:rsidRPr="003F6E95">
        <w:rPr>
          <w:rFonts w:ascii="Times New Roman" w:hAnsi="Times New Roman" w:cs="Times New Roman"/>
          <w:sz w:val="27"/>
          <w:szCs w:val="27"/>
        </w:rPr>
        <w:lastRenderedPageBreak/>
        <w:t xml:space="preserve">Рассмотрим динамику показателя </w:t>
      </w:r>
      <m:oMath>
        <m:r>
          <w:rPr>
            <w:rFonts w:ascii="Cambria Math" w:hAnsi="Cambria Math" w:cs="Times New Roman"/>
            <w:sz w:val="27"/>
            <w:szCs w:val="27"/>
          </w:rPr>
          <m:t>β</m:t>
        </m:r>
        <m:r>
          <w:rPr>
            <w:rStyle w:val="a9"/>
            <w:rFonts w:ascii="Cambria Math" w:hAnsi="Cambria Math" w:cs="Times New Roman"/>
            <w:i/>
            <w:sz w:val="27"/>
            <w:szCs w:val="27"/>
          </w:rPr>
          <w:footnoteReference w:id="2"/>
        </m:r>
      </m:oMath>
      <w:r w:rsidRPr="003F6E95">
        <w:rPr>
          <w:rFonts w:ascii="Times New Roman" w:eastAsiaTheme="minorEastAsia" w:hAnsi="Times New Roman" w:cs="Times New Roman"/>
          <w:sz w:val="27"/>
          <w:szCs w:val="27"/>
        </w:rPr>
        <w:t xml:space="preserve"> портфеля (чувствительность к изменению индекса ММВБ)</w:t>
      </w:r>
      <w:r w:rsidR="005E5373" w:rsidRPr="003F6E95">
        <w:rPr>
          <w:rFonts w:ascii="Times New Roman" w:eastAsiaTheme="minorEastAsia" w:hAnsi="Times New Roman" w:cs="Times New Roman"/>
          <w:sz w:val="27"/>
          <w:szCs w:val="27"/>
        </w:rPr>
        <w:t xml:space="preserve"> с </w:t>
      </w:r>
      <w:r w:rsidR="00F26B9B" w:rsidRPr="003F6E95">
        <w:rPr>
          <w:rFonts w:ascii="Times New Roman" w:eastAsiaTheme="minorEastAsia" w:hAnsi="Times New Roman" w:cs="Times New Roman"/>
          <w:sz w:val="27"/>
          <w:szCs w:val="27"/>
        </w:rPr>
        <w:t>06</w:t>
      </w:r>
      <w:r w:rsidR="005E5373" w:rsidRPr="003F6E95">
        <w:rPr>
          <w:rFonts w:ascii="Times New Roman" w:eastAsiaTheme="minorEastAsia" w:hAnsi="Times New Roman" w:cs="Times New Roman"/>
          <w:sz w:val="27"/>
          <w:szCs w:val="27"/>
        </w:rPr>
        <w:t>/0</w:t>
      </w:r>
      <w:r w:rsidR="00F26B9B" w:rsidRPr="003F6E95">
        <w:rPr>
          <w:rFonts w:ascii="Times New Roman" w:eastAsiaTheme="minorEastAsia" w:hAnsi="Times New Roman" w:cs="Times New Roman"/>
          <w:sz w:val="27"/>
          <w:szCs w:val="27"/>
        </w:rPr>
        <w:t>1</w:t>
      </w:r>
      <w:r w:rsidR="005E5373" w:rsidRPr="003F6E95">
        <w:rPr>
          <w:rFonts w:ascii="Times New Roman" w:eastAsiaTheme="minorEastAsia" w:hAnsi="Times New Roman" w:cs="Times New Roman"/>
          <w:sz w:val="27"/>
          <w:szCs w:val="27"/>
        </w:rPr>
        <w:t>/2014г. по 3</w:t>
      </w:r>
      <w:r w:rsidR="00F26B9B" w:rsidRPr="003F6E95">
        <w:rPr>
          <w:rFonts w:ascii="Times New Roman" w:eastAsiaTheme="minorEastAsia" w:hAnsi="Times New Roman" w:cs="Times New Roman"/>
          <w:sz w:val="27"/>
          <w:szCs w:val="27"/>
        </w:rPr>
        <w:t>1</w:t>
      </w:r>
      <w:r w:rsidR="005E5373" w:rsidRPr="003F6E95">
        <w:rPr>
          <w:rFonts w:ascii="Times New Roman" w:eastAsiaTheme="minorEastAsia" w:hAnsi="Times New Roman" w:cs="Times New Roman"/>
          <w:sz w:val="27"/>
          <w:szCs w:val="27"/>
        </w:rPr>
        <w:t>/0</w:t>
      </w:r>
      <w:r w:rsidR="00F26B9B" w:rsidRPr="003F6E95">
        <w:rPr>
          <w:rFonts w:ascii="Times New Roman" w:eastAsiaTheme="minorEastAsia" w:hAnsi="Times New Roman" w:cs="Times New Roman"/>
          <w:sz w:val="27"/>
          <w:szCs w:val="27"/>
        </w:rPr>
        <w:t>3</w:t>
      </w:r>
      <w:r w:rsidR="005E5373" w:rsidRPr="003F6E95">
        <w:rPr>
          <w:rFonts w:ascii="Times New Roman" w:eastAsiaTheme="minorEastAsia" w:hAnsi="Times New Roman" w:cs="Times New Roman"/>
          <w:sz w:val="27"/>
          <w:szCs w:val="27"/>
        </w:rPr>
        <w:t>/2015г.</w:t>
      </w:r>
    </w:p>
    <w:p w:rsidR="003F6E95" w:rsidRPr="003F6E95" w:rsidRDefault="003F6E95" w:rsidP="00FD5CBC">
      <w:pPr>
        <w:spacing w:after="120"/>
        <w:ind w:firstLine="567"/>
        <w:jc w:val="both"/>
        <w:rPr>
          <w:rFonts w:ascii="Times New Roman" w:eastAsiaTheme="minorEastAsia" w:hAnsi="Times New Roman" w:cs="Times New Roman"/>
          <w:sz w:val="27"/>
          <w:szCs w:val="27"/>
        </w:rPr>
      </w:pPr>
    </w:p>
    <w:p w:rsidR="00F26B9B" w:rsidRDefault="00F24058" w:rsidP="00CE4D89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noProof/>
          <w:lang w:eastAsia="ru-RU"/>
        </w:rPr>
        <w:drawing>
          <wp:inline distT="0" distB="0" distL="0" distR="0">
            <wp:extent cx="6273165" cy="2552700"/>
            <wp:effectExtent l="19050" t="0" r="1333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D5CBC" w:rsidRDefault="00FD5CBC" w:rsidP="00FD5CBC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FD5CBC">
        <w:rPr>
          <w:rFonts w:ascii="Times New Roman" w:hAnsi="Times New Roman" w:cs="Times New Roman"/>
          <w:sz w:val="20"/>
          <w:szCs w:val="20"/>
        </w:rPr>
        <w:t>Рис</w:t>
      </w:r>
      <w:r w:rsidR="007724E6">
        <w:rPr>
          <w:rFonts w:ascii="Times New Roman" w:hAnsi="Times New Roman" w:cs="Times New Roman"/>
          <w:sz w:val="20"/>
          <w:szCs w:val="20"/>
        </w:rPr>
        <w:t>.</w:t>
      </w:r>
      <w:r w:rsidRPr="00FD5CBC">
        <w:rPr>
          <w:rFonts w:ascii="Times New Roman" w:hAnsi="Times New Roman" w:cs="Times New Roman"/>
          <w:sz w:val="20"/>
          <w:szCs w:val="20"/>
        </w:rPr>
        <w:t xml:space="preserve"> 1: </w:t>
      </w:r>
      <w:r w:rsidR="007724E6">
        <w:rPr>
          <w:rFonts w:ascii="Times New Roman" w:hAnsi="Times New Roman" w:cs="Times New Roman"/>
          <w:sz w:val="20"/>
          <w:szCs w:val="20"/>
        </w:rPr>
        <w:t xml:space="preserve">динамика </w:t>
      </w:r>
      <w:r w:rsidRPr="00FD5CBC">
        <w:rPr>
          <w:rFonts w:ascii="Times New Roman" w:hAnsi="Times New Roman" w:cs="Times New Roman"/>
          <w:sz w:val="20"/>
          <w:szCs w:val="20"/>
        </w:rPr>
        <w:t>чувствительности портфеля</w:t>
      </w:r>
      <w:r w:rsidR="007724E6">
        <w:rPr>
          <w:rFonts w:ascii="Times New Roman" w:hAnsi="Times New Roman" w:cs="Times New Roman"/>
          <w:sz w:val="20"/>
          <w:szCs w:val="20"/>
        </w:rPr>
        <w:t xml:space="preserve"> и</w:t>
      </w:r>
      <w:r w:rsidRPr="00FD5CBC">
        <w:rPr>
          <w:rFonts w:ascii="Times New Roman" w:hAnsi="Times New Roman" w:cs="Times New Roman"/>
          <w:sz w:val="20"/>
          <w:szCs w:val="20"/>
        </w:rPr>
        <w:t xml:space="preserve"> фондового индекса.</w:t>
      </w:r>
    </w:p>
    <w:p w:rsidR="003F6E95" w:rsidRPr="00FD5CBC" w:rsidRDefault="003F6E95" w:rsidP="00FD5CBC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004F73" w:rsidRPr="003F6E95" w:rsidRDefault="00F24058" w:rsidP="003F6E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F6E95">
        <w:rPr>
          <w:rFonts w:ascii="Times New Roman" w:hAnsi="Times New Roman" w:cs="Times New Roman"/>
          <w:sz w:val="27"/>
          <w:szCs w:val="27"/>
        </w:rPr>
        <w:t xml:space="preserve">На </w:t>
      </w:r>
      <w:r w:rsidR="00FD5CBC" w:rsidRPr="003F6E95">
        <w:rPr>
          <w:rFonts w:ascii="Times New Roman" w:hAnsi="Times New Roman" w:cs="Times New Roman"/>
          <w:sz w:val="27"/>
          <w:szCs w:val="27"/>
        </w:rPr>
        <w:t>рисунке 1</w:t>
      </w:r>
      <w:r w:rsidRPr="003F6E95">
        <w:rPr>
          <w:rFonts w:ascii="Times New Roman" w:hAnsi="Times New Roman" w:cs="Times New Roman"/>
          <w:sz w:val="27"/>
          <w:szCs w:val="27"/>
        </w:rPr>
        <w:t xml:space="preserve"> можно видеть, что в период падения индекса зависимость модельного портфеля от индекса увеличивается.</w:t>
      </w:r>
      <w:r w:rsidR="005B5E26" w:rsidRPr="003F6E95">
        <w:rPr>
          <w:rFonts w:ascii="Times New Roman" w:hAnsi="Times New Roman" w:cs="Times New Roman"/>
          <w:sz w:val="27"/>
          <w:szCs w:val="27"/>
        </w:rPr>
        <w:t xml:space="preserve"> Так в марте 2014 года, когда индекс ММВБ прошел отметку в 1300 (13.03.2014г. – 1248.56) значение коэффициента бета портфеля превысило 0,7.</w:t>
      </w:r>
    </w:p>
    <w:p w:rsidR="00F24058" w:rsidRDefault="00F24058" w:rsidP="003F6E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F6E95">
        <w:rPr>
          <w:rFonts w:ascii="Times New Roman" w:hAnsi="Times New Roman" w:cs="Times New Roman"/>
          <w:sz w:val="27"/>
          <w:szCs w:val="27"/>
        </w:rPr>
        <w:t xml:space="preserve">Рассмотрим динамику показателя </w:t>
      </w:r>
      <w:r w:rsidRPr="003F6E95">
        <w:rPr>
          <w:rFonts w:ascii="Times New Roman" w:hAnsi="Times New Roman" w:cs="Times New Roman"/>
          <w:sz w:val="27"/>
          <w:szCs w:val="27"/>
          <w:lang w:val="en-US"/>
        </w:rPr>
        <w:t>VAR</w:t>
      </w:r>
      <w:r w:rsidR="00FD5CBC" w:rsidRPr="003F6E95">
        <w:rPr>
          <w:rStyle w:val="a9"/>
          <w:rFonts w:ascii="Times New Roman" w:hAnsi="Times New Roman" w:cs="Times New Roman"/>
          <w:sz w:val="27"/>
          <w:szCs w:val="27"/>
          <w:lang w:val="en-US"/>
        </w:rPr>
        <w:footnoteReference w:id="3"/>
      </w:r>
      <w:r w:rsidRPr="003F6E95">
        <w:rPr>
          <w:rFonts w:ascii="Times New Roman" w:hAnsi="Times New Roman" w:cs="Times New Roman"/>
          <w:sz w:val="27"/>
          <w:szCs w:val="27"/>
        </w:rPr>
        <w:t xml:space="preserve"> (</w:t>
      </w:r>
      <w:r w:rsidRPr="003F6E95">
        <w:rPr>
          <w:rFonts w:ascii="Times New Roman" w:hAnsi="Times New Roman" w:cs="Times New Roman"/>
          <w:sz w:val="27"/>
          <w:szCs w:val="27"/>
          <w:lang w:val="en-US"/>
        </w:rPr>
        <w:t>Value</w:t>
      </w:r>
      <w:r w:rsidRPr="003F6E95">
        <w:rPr>
          <w:rFonts w:ascii="Times New Roman" w:hAnsi="Times New Roman" w:cs="Times New Roman"/>
          <w:sz w:val="27"/>
          <w:szCs w:val="27"/>
        </w:rPr>
        <w:t xml:space="preserve"> </w:t>
      </w:r>
      <w:r w:rsidRPr="003F6E95">
        <w:rPr>
          <w:rFonts w:ascii="Times New Roman" w:hAnsi="Times New Roman" w:cs="Times New Roman"/>
          <w:sz w:val="27"/>
          <w:szCs w:val="27"/>
          <w:lang w:val="en-US"/>
        </w:rPr>
        <w:t>at</w:t>
      </w:r>
      <w:r w:rsidRPr="003F6E95">
        <w:rPr>
          <w:rFonts w:ascii="Times New Roman" w:hAnsi="Times New Roman" w:cs="Times New Roman"/>
          <w:sz w:val="27"/>
          <w:szCs w:val="27"/>
        </w:rPr>
        <w:t xml:space="preserve"> </w:t>
      </w:r>
      <w:r w:rsidRPr="003F6E95">
        <w:rPr>
          <w:rFonts w:ascii="Times New Roman" w:hAnsi="Times New Roman" w:cs="Times New Roman"/>
          <w:sz w:val="27"/>
          <w:szCs w:val="27"/>
          <w:lang w:val="en-US"/>
        </w:rPr>
        <w:t>Risk</w:t>
      </w:r>
      <w:r w:rsidRPr="003F6E95">
        <w:rPr>
          <w:rFonts w:ascii="Times New Roman" w:hAnsi="Times New Roman" w:cs="Times New Roman"/>
          <w:sz w:val="27"/>
          <w:szCs w:val="27"/>
        </w:rPr>
        <w:t>) модельного портфеля за тот же период:</w:t>
      </w:r>
    </w:p>
    <w:p w:rsidR="003F6E95" w:rsidRPr="003F6E95" w:rsidRDefault="003F6E95" w:rsidP="00FD5CBC">
      <w:pPr>
        <w:spacing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F24058" w:rsidRPr="00F24058" w:rsidRDefault="00E72956" w:rsidP="00CE4D89">
      <w:pPr>
        <w:spacing w:after="0"/>
        <w:jc w:val="both"/>
        <w:rPr>
          <w:rFonts w:ascii="Times New Roman" w:hAnsi="Times New Roman" w:cs="Times New Roman"/>
        </w:rPr>
      </w:pPr>
      <w:r w:rsidRPr="00E72956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254115" cy="2828925"/>
            <wp:effectExtent l="19050" t="0" r="13335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D5CBC" w:rsidRDefault="00FD5CBC" w:rsidP="00FD5CBC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FD5CBC">
        <w:rPr>
          <w:rFonts w:ascii="Times New Roman" w:hAnsi="Times New Roman" w:cs="Times New Roman"/>
          <w:sz w:val="20"/>
          <w:szCs w:val="20"/>
        </w:rPr>
        <w:t>Рис</w:t>
      </w:r>
      <w:r w:rsidR="007724E6">
        <w:rPr>
          <w:rFonts w:ascii="Times New Roman" w:hAnsi="Times New Roman" w:cs="Times New Roman"/>
          <w:sz w:val="20"/>
          <w:szCs w:val="20"/>
        </w:rPr>
        <w:t>.</w:t>
      </w:r>
      <w:r w:rsidRPr="00FD5CBC">
        <w:rPr>
          <w:rFonts w:ascii="Times New Roman" w:hAnsi="Times New Roman" w:cs="Times New Roman"/>
          <w:sz w:val="20"/>
          <w:szCs w:val="20"/>
        </w:rPr>
        <w:t xml:space="preserve"> 2: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724E6">
        <w:rPr>
          <w:rFonts w:ascii="Times New Roman" w:hAnsi="Times New Roman" w:cs="Times New Roman"/>
          <w:sz w:val="20"/>
          <w:szCs w:val="20"/>
        </w:rPr>
        <w:t>динамика показателя</w:t>
      </w:r>
      <w:r>
        <w:rPr>
          <w:rFonts w:ascii="Times New Roman" w:hAnsi="Times New Roman" w:cs="Times New Roman"/>
          <w:sz w:val="20"/>
          <w:szCs w:val="20"/>
        </w:rPr>
        <w:t xml:space="preserve"> VAR </w:t>
      </w:r>
      <w:r w:rsidR="007724E6">
        <w:rPr>
          <w:rFonts w:ascii="Times New Roman" w:hAnsi="Times New Roman" w:cs="Times New Roman"/>
          <w:sz w:val="20"/>
          <w:szCs w:val="20"/>
        </w:rPr>
        <w:t>и</w:t>
      </w:r>
      <w:r w:rsidRPr="00FD5CBC">
        <w:rPr>
          <w:rFonts w:ascii="Times New Roman" w:hAnsi="Times New Roman" w:cs="Times New Roman"/>
          <w:sz w:val="20"/>
          <w:szCs w:val="20"/>
        </w:rPr>
        <w:t xml:space="preserve"> фондового индекса.</w:t>
      </w:r>
    </w:p>
    <w:p w:rsidR="003F6E95" w:rsidRPr="00FD5CBC" w:rsidRDefault="003F6E95" w:rsidP="00FD5CBC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735E58" w:rsidRDefault="00F24058" w:rsidP="003F6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6E95">
        <w:rPr>
          <w:rFonts w:ascii="Times New Roman" w:hAnsi="Times New Roman" w:cs="Times New Roman"/>
          <w:sz w:val="27"/>
          <w:szCs w:val="27"/>
        </w:rPr>
        <w:t xml:space="preserve">Как можно видеть на </w:t>
      </w:r>
      <w:r w:rsidR="007724E6" w:rsidRPr="003F6E95">
        <w:rPr>
          <w:rFonts w:ascii="Times New Roman" w:hAnsi="Times New Roman" w:cs="Times New Roman"/>
          <w:sz w:val="27"/>
          <w:szCs w:val="27"/>
        </w:rPr>
        <w:t>рисунке 2,</w:t>
      </w:r>
      <w:r w:rsidRPr="003F6E95">
        <w:rPr>
          <w:rFonts w:ascii="Times New Roman" w:hAnsi="Times New Roman" w:cs="Times New Roman"/>
          <w:sz w:val="27"/>
          <w:szCs w:val="27"/>
        </w:rPr>
        <w:t xml:space="preserve"> в марте и декабре 2014 года годовой </w:t>
      </w:r>
      <w:r w:rsidRPr="003F6E95">
        <w:rPr>
          <w:rFonts w:ascii="Times New Roman" w:hAnsi="Times New Roman" w:cs="Times New Roman"/>
          <w:sz w:val="27"/>
          <w:szCs w:val="27"/>
          <w:lang w:val="en-US"/>
        </w:rPr>
        <w:t>VAR</w:t>
      </w:r>
      <w:r w:rsidRPr="003F6E95">
        <w:rPr>
          <w:rFonts w:ascii="Times New Roman" w:hAnsi="Times New Roman" w:cs="Times New Roman"/>
          <w:sz w:val="27"/>
          <w:szCs w:val="27"/>
        </w:rPr>
        <w:t xml:space="preserve"> превысил объем равный половине модельного портфеля.</w:t>
      </w:r>
    </w:p>
    <w:p w:rsidR="003F6E95" w:rsidRPr="003F6E95" w:rsidRDefault="003F6E95" w:rsidP="003F6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754FF" w:rsidRDefault="004754FF" w:rsidP="003F6E9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3F6E95">
        <w:rPr>
          <w:rFonts w:ascii="Times New Roman" w:hAnsi="Times New Roman" w:cs="Times New Roman"/>
          <w:i/>
          <w:sz w:val="27"/>
          <w:szCs w:val="27"/>
        </w:rPr>
        <w:t>Облигации</w:t>
      </w:r>
      <w:r w:rsidR="008432B7" w:rsidRPr="003F6E95">
        <w:rPr>
          <w:rFonts w:ascii="Times New Roman" w:hAnsi="Times New Roman" w:cs="Times New Roman"/>
          <w:i/>
          <w:sz w:val="27"/>
          <w:szCs w:val="27"/>
        </w:rPr>
        <w:t>.</w:t>
      </w:r>
    </w:p>
    <w:p w:rsidR="003F6E95" w:rsidRPr="003F6E95" w:rsidRDefault="003F6E95" w:rsidP="003F6E9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38795D" w:rsidRPr="003F6E95" w:rsidRDefault="00C06FC3" w:rsidP="003F6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6E95">
        <w:rPr>
          <w:rFonts w:ascii="Times New Roman" w:hAnsi="Times New Roman" w:cs="Times New Roman"/>
          <w:sz w:val="27"/>
          <w:szCs w:val="27"/>
        </w:rPr>
        <w:t>В условиях кризиса облигационная часть инвестиционного портфеля подв</w:t>
      </w:r>
      <w:r w:rsidR="00EA7DEB" w:rsidRPr="003F6E95">
        <w:rPr>
          <w:rFonts w:ascii="Times New Roman" w:hAnsi="Times New Roman" w:cs="Times New Roman"/>
          <w:sz w:val="27"/>
          <w:szCs w:val="27"/>
        </w:rPr>
        <w:t>е</w:t>
      </w:r>
      <w:r w:rsidRPr="003F6E95">
        <w:rPr>
          <w:rFonts w:ascii="Times New Roman" w:hAnsi="Times New Roman" w:cs="Times New Roman"/>
          <w:sz w:val="27"/>
          <w:szCs w:val="27"/>
        </w:rPr>
        <w:t xml:space="preserve">ржена коррекции ввиду </w:t>
      </w:r>
      <w:r w:rsidR="00EA7DEB" w:rsidRPr="003F6E95">
        <w:rPr>
          <w:rFonts w:ascii="Times New Roman" w:hAnsi="Times New Roman" w:cs="Times New Roman"/>
          <w:sz w:val="27"/>
          <w:szCs w:val="27"/>
        </w:rPr>
        <w:t xml:space="preserve">роста процентных ставок, увеличения кредитных рисков эмитентов и снижения ликвидности «длинных» облигаций. </w:t>
      </w:r>
      <w:proofErr w:type="spellStart"/>
      <w:r w:rsidR="00C425D0" w:rsidRPr="003F6E95">
        <w:rPr>
          <w:rFonts w:ascii="Times New Roman" w:hAnsi="Times New Roman" w:cs="Times New Roman"/>
          <w:sz w:val="27"/>
          <w:szCs w:val="27"/>
        </w:rPr>
        <w:t>Аллокация</w:t>
      </w:r>
      <w:proofErr w:type="spellEnd"/>
      <w:r w:rsidR="00C425D0" w:rsidRPr="003F6E95">
        <w:rPr>
          <w:rFonts w:ascii="Times New Roman" w:hAnsi="Times New Roman" w:cs="Times New Roman"/>
          <w:sz w:val="27"/>
          <w:szCs w:val="27"/>
        </w:rPr>
        <w:t xml:space="preserve"> активов становится затруднительной и более дорогостоящей. </w:t>
      </w:r>
    </w:p>
    <w:p w:rsidR="00C06FC3" w:rsidRPr="003F6E95" w:rsidRDefault="00BA7DA4" w:rsidP="003F6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6E95">
        <w:rPr>
          <w:rFonts w:ascii="Times New Roman" w:hAnsi="Times New Roman" w:cs="Times New Roman"/>
          <w:sz w:val="27"/>
          <w:szCs w:val="27"/>
        </w:rPr>
        <w:t xml:space="preserve">Рост процентных ставок во время кризиса </w:t>
      </w:r>
      <w:r w:rsidR="0086593D" w:rsidRPr="003F6E95">
        <w:rPr>
          <w:rFonts w:ascii="Times New Roman" w:hAnsi="Times New Roman" w:cs="Times New Roman"/>
          <w:sz w:val="27"/>
          <w:szCs w:val="27"/>
        </w:rPr>
        <w:t xml:space="preserve">во многом </w:t>
      </w:r>
      <w:r w:rsidRPr="003F6E95">
        <w:rPr>
          <w:rFonts w:ascii="Times New Roman" w:hAnsi="Times New Roman" w:cs="Times New Roman"/>
          <w:sz w:val="27"/>
          <w:szCs w:val="27"/>
        </w:rPr>
        <w:t xml:space="preserve">обусловлен </w:t>
      </w:r>
      <w:r w:rsidR="0086593D" w:rsidRPr="003F6E95">
        <w:rPr>
          <w:rFonts w:ascii="Times New Roman" w:hAnsi="Times New Roman" w:cs="Times New Roman"/>
          <w:sz w:val="27"/>
          <w:szCs w:val="27"/>
        </w:rPr>
        <w:t>проблемами в банковском секторе.</w:t>
      </w:r>
      <w:r w:rsidRPr="003F6E95">
        <w:rPr>
          <w:rFonts w:ascii="Times New Roman" w:hAnsi="Times New Roman" w:cs="Times New Roman"/>
          <w:sz w:val="27"/>
          <w:szCs w:val="27"/>
        </w:rPr>
        <w:t xml:space="preserve"> </w:t>
      </w:r>
      <w:r w:rsidR="00EA7DEB" w:rsidRPr="003F6E95">
        <w:rPr>
          <w:rFonts w:ascii="Times New Roman" w:hAnsi="Times New Roman" w:cs="Times New Roman"/>
          <w:sz w:val="27"/>
          <w:szCs w:val="27"/>
        </w:rPr>
        <w:t xml:space="preserve">Сложности в привлечении краткосрочной ликвидности вынуждают кредитные организации повышать ставки по привлечению </w:t>
      </w:r>
      <w:r w:rsidR="0086593D" w:rsidRPr="003F6E95">
        <w:rPr>
          <w:rFonts w:ascii="Times New Roman" w:hAnsi="Times New Roman" w:cs="Times New Roman"/>
          <w:sz w:val="27"/>
          <w:szCs w:val="27"/>
        </w:rPr>
        <w:t>сре</w:t>
      </w:r>
      <w:proofErr w:type="gramStart"/>
      <w:r w:rsidR="0086593D" w:rsidRPr="003F6E95">
        <w:rPr>
          <w:rFonts w:ascii="Times New Roman" w:hAnsi="Times New Roman" w:cs="Times New Roman"/>
          <w:sz w:val="27"/>
          <w:szCs w:val="27"/>
        </w:rPr>
        <w:t>дств дл</w:t>
      </w:r>
      <w:proofErr w:type="gramEnd"/>
      <w:r w:rsidR="0086593D" w:rsidRPr="003F6E95">
        <w:rPr>
          <w:rFonts w:ascii="Times New Roman" w:hAnsi="Times New Roman" w:cs="Times New Roman"/>
          <w:sz w:val="27"/>
          <w:szCs w:val="27"/>
        </w:rPr>
        <w:t xml:space="preserve">я </w:t>
      </w:r>
      <w:r w:rsidR="00A15304" w:rsidRPr="003F6E95">
        <w:rPr>
          <w:rFonts w:ascii="Times New Roman" w:hAnsi="Times New Roman" w:cs="Times New Roman"/>
          <w:sz w:val="27"/>
          <w:szCs w:val="27"/>
        </w:rPr>
        <w:t>выполнения текущих обязательств</w:t>
      </w:r>
      <w:r w:rsidR="00EA7DEB" w:rsidRPr="003F6E95">
        <w:rPr>
          <w:rFonts w:ascii="Times New Roman" w:hAnsi="Times New Roman" w:cs="Times New Roman"/>
          <w:sz w:val="27"/>
          <w:szCs w:val="27"/>
        </w:rPr>
        <w:t>, что в свою очередь заставляет рынок пересматривать доходности более коротких инструментов, привод</w:t>
      </w:r>
      <w:r w:rsidRPr="003F6E95">
        <w:rPr>
          <w:rFonts w:ascii="Times New Roman" w:hAnsi="Times New Roman" w:cs="Times New Roman"/>
          <w:sz w:val="27"/>
          <w:szCs w:val="27"/>
        </w:rPr>
        <w:t>я</w:t>
      </w:r>
      <w:r w:rsidR="00EA7DEB" w:rsidRPr="003F6E95">
        <w:rPr>
          <w:rFonts w:ascii="Times New Roman" w:hAnsi="Times New Roman" w:cs="Times New Roman"/>
          <w:sz w:val="27"/>
          <w:szCs w:val="27"/>
        </w:rPr>
        <w:t xml:space="preserve"> к </w:t>
      </w:r>
      <w:r w:rsidR="00C81BDC" w:rsidRPr="003F6E95">
        <w:rPr>
          <w:rFonts w:ascii="Times New Roman" w:hAnsi="Times New Roman" w:cs="Times New Roman"/>
          <w:sz w:val="27"/>
          <w:szCs w:val="27"/>
        </w:rPr>
        <w:t xml:space="preserve">изменению </w:t>
      </w:r>
      <w:r w:rsidR="00EA7DEB" w:rsidRPr="003F6E95">
        <w:rPr>
          <w:rFonts w:ascii="Times New Roman" w:hAnsi="Times New Roman" w:cs="Times New Roman"/>
          <w:sz w:val="27"/>
          <w:szCs w:val="27"/>
        </w:rPr>
        <w:t>кривой процентных ставок и к дальнейшему осложнению в привлечении краткосрочной ликвидности.</w:t>
      </w:r>
      <w:r w:rsidRPr="003F6E95">
        <w:rPr>
          <w:rFonts w:ascii="Times New Roman" w:hAnsi="Times New Roman" w:cs="Times New Roman"/>
          <w:sz w:val="27"/>
          <w:szCs w:val="27"/>
        </w:rPr>
        <w:t xml:space="preserve"> Рост краткосрочных процентных ставок приводит к снижению стоимости соответствующих облигаций, поскольку </w:t>
      </w:r>
      <w:r w:rsidR="00A15304" w:rsidRPr="003F6E95">
        <w:rPr>
          <w:rFonts w:ascii="Times New Roman" w:hAnsi="Times New Roman" w:cs="Times New Roman"/>
          <w:sz w:val="27"/>
          <w:szCs w:val="27"/>
        </w:rPr>
        <w:t>у и</w:t>
      </w:r>
      <w:r w:rsidRPr="003F6E95">
        <w:rPr>
          <w:rFonts w:ascii="Times New Roman" w:hAnsi="Times New Roman" w:cs="Times New Roman"/>
          <w:sz w:val="27"/>
          <w:szCs w:val="27"/>
        </w:rPr>
        <w:t xml:space="preserve">нвесторов </w:t>
      </w:r>
      <w:r w:rsidR="00A15304" w:rsidRPr="003F6E95">
        <w:rPr>
          <w:rFonts w:ascii="Times New Roman" w:hAnsi="Times New Roman" w:cs="Times New Roman"/>
          <w:sz w:val="27"/>
          <w:szCs w:val="27"/>
        </w:rPr>
        <w:t xml:space="preserve">появляются </w:t>
      </w:r>
      <w:r w:rsidR="0086593D" w:rsidRPr="003F6E95">
        <w:rPr>
          <w:rFonts w:ascii="Times New Roman" w:hAnsi="Times New Roman" w:cs="Times New Roman"/>
          <w:sz w:val="27"/>
          <w:szCs w:val="27"/>
        </w:rPr>
        <w:t xml:space="preserve">альтернативные </w:t>
      </w:r>
      <w:r w:rsidR="00A15304" w:rsidRPr="003F6E95">
        <w:rPr>
          <w:rFonts w:ascii="Times New Roman" w:hAnsi="Times New Roman" w:cs="Times New Roman"/>
          <w:sz w:val="27"/>
          <w:szCs w:val="27"/>
        </w:rPr>
        <w:t xml:space="preserve">направления инвестирования </w:t>
      </w:r>
      <w:r w:rsidR="0086593D" w:rsidRPr="003F6E95">
        <w:rPr>
          <w:rFonts w:ascii="Times New Roman" w:hAnsi="Times New Roman" w:cs="Times New Roman"/>
          <w:sz w:val="27"/>
          <w:szCs w:val="27"/>
        </w:rPr>
        <w:t>под более высокие проценты</w:t>
      </w:r>
      <w:r w:rsidRPr="003F6E95">
        <w:rPr>
          <w:rFonts w:ascii="Times New Roman" w:hAnsi="Times New Roman" w:cs="Times New Roman"/>
          <w:sz w:val="27"/>
          <w:szCs w:val="27"/>
        </w:rPr>
        <w:t xml:space="preserve">. </w:t>
      </w:r>
      <w:r w:rsidR="00A15304" w:rsidRPr="003F6E95">
        <w:rPr>
          <w:rFonts w:ascii="Times New Roman" w:hAnsi="Times New Roman" w:cs="Times New Roman"/>
          <w:sz w:val="27"/>
          <w:szCs w:val="27"/>
        </w:rPr>
        <w:t>Стоимость длинных облигаций</w:t>
      </w:r>
      <w:r w:rsidR="0086593D" w:rsidRPr="003F6E95">
        <w:rPr>
          <w:rFonts w:ascii="Times New Roman" w:hAnsi="Times New Roman" w:cs="Times New Roman"/>
          <w:sz w:val="27"/>
          <w:szCs w:val="27"/>
        </w:rPr>
        <w:t xml:space="preserve"> также </w:t>
      </w:r>
      <w:r w:rsidR="00A15304" w:rsidRPr="003F6E95">
        <w:rPr>
          <w:rFonts w:ascii="Times New Roman" w:hAnsi="Times New Roman" w:cs="Times New Roman"/>
          <w:sz w:val="27"/>
          <w:szCs w:val="27"/>
        </w:rPr>
        <w:t>снижается</w:t>
      </w:r>
      <w:r w:rsidR="0086593D" w:rsidRPr="003F6E95">
        <w:rPr>
          <w:rFonts w:ascii="Times New Roman" w:hAnsi="Times New Roman" w:cs="Times New Roman"/>
          <w:sz w:val="27"/>
          <w:szCs w:val="27"/>
        </w:rPr>
        <w:t xml:space="preserve"> ввиду того, что</w:t>
      </w:r>
      <w:r w:rsidRPr="003F6E95">
        <w:rPr>
          <w:rFonts w:ascii="Times New Roman" w:hAnsi="Times New Roman" w:cs="Times New Roman"/>
          <w:sz w:val="27"/>
          <w:szCs w:val="27"/>
        </w:rPr>
        <w:t xml:space="preserve"> </w:t>
      </w:r>
      <w:r w:rsidR="0086593D" w:rsidRPr="003F6E95">
        <w:rPr>
          <w:rFonts w:ascii="Times New Roman" w:hAnsi="Times New Roman" w:cs="Times New Roman"/>
          <w:sz w:val="27"/>
          <w:szCs w:val="27"/>
        </w:rPr>
        <w:t>и</w:t>
      </w:r>
      <w:r w:rsidRPr="003F6E95">
        <w:rPr>
          <w:rFonts w:ascii="Times New Roman" w:hAnsi="Times New Roman" w:cs="Times New Roman"/>
          <w:sz w:val="27"/>
          <w:szCs w:val="27"/>
        </w:rPr>
        <w:t>нвесторы, жела</w:t>
      </w:r>
      <w:r w:rsidR="00A15304" w:rsidRPr="003F6E95">
        <w:rPr>
          <w:rFonts w:ascii="Times New Roman" w:hAnsi="Times New Roman" w:cs="Times New Roman"/>
          <w:sz w:val="27"/>
          <w:szCs w:val="27"/>
        </w:rPr>
        <w:t>ют</w:t>
      </w:r>
      <w:r w:rsidRPr="003F6E95">
        <w:rPr>
          <w:rFonts w:ascii="Times New Roman" w:hAnsi="Times New Roman" w:cs="Times New Roman"/>
          <w:sz w:val="27"/>
          <w:szCs w:val="27"/>
        </w:rPr>
        <w:t xml:space="preserve"> получить дополнительные бонусы за покупку более длинных и менее ликвидных бумаг</w:t>
      </w:r>
      <w:r w:rsidR="0038795D" w:rsidRPr="003F6E95">
        <w:rPr>
          <w:rFonts w:ascii="Times New Roman" w:hAnsi="Times New Roman" w:cs="Times New Roman"/>
          <w:sz w:val="27"/>
          <w:szCs w:val="27"/>
        </w:rPr>
        <w:t>.</w:t>
      </w:r>
      <w:r w:rsidRPr="003F6E95">
        <w:rPr>
          <w:rFonts w:ascii="Times New Roman" w:hAnsi="Times New Roman" w:cs="Times New Roman"/>
          <w:sz w:val="27"/>
          <w:szCs w:val="27"/>
        </w:rPr>
        <w:t xml:space="preserve"> </w:t>
      </w:r>
      <w:r w:rsidR="0038795D" w:rsidRPr="003F6E95">
        <w:rPr>
          <w:rFonts w:ascii="Times New Roman" w:hAnsi="Times New Roman" w:cs="Times New Roman"/>
          <w:sz w:val="27"/>
          <w:szCs w:val="27"/>
        </w:rPr>
        <w:t>П</w:t>
      </w:r>
      <w:r w:rsidR="00A15304" w:rsidRPr="003F6E95">
        <w:rPr>
          <w:rFonts w:ascii="Times New Roman" w:hAnsi="Times New Roman" w:cs="Times New Roman"/>
          <w:sz w:val="27"/>
          <w:szCs w:val="27"/>
        </w:rPr>
        <w:t xml:space="preserve">роблемы с ликвидностью </w:t>
      </w:r>
      <w:r w:rsidR="0038795D" w:rsidRPr="003F6E95">
        <w:rPr>
          <w:rFonts w:ascii="Times New Roman" w:hAnsi="Times New Roman" w:cs="Times New Roman"/>
          <w:sz w:val="27"/>
          <w:szCs w:val="27"/>
        </w:rPr>
        <w:t xml:space="preserve">в кредитных организациях </w:t>
      </w:r>
      <w:r w:rsidR="0038795D" w:rsidRPr="003F6E95">
        <w:rPr>
          <w:rFonts w:ascii="Times New Roman" w:hAnsi="Times New Roman" w:cs="Times New Roman"/>
          <w:sz w:val="27"/>
          <w:szCs w:val="27"/>
        </w:rPr>
        <w:lastRenderedPageBreak/>
        <w:t>способствуют ухудшению ситуации на фондовом рынк</w:t>
      </w:r>
      <w:r w:rsidR="00D644CC" w:rsidRPr="003F6E95">
        <w:rPr>
          <w:rFonts w:ascii="Times New Roman" w:hAnsi="Times New Roman" w:cs="Times New Roman"/>
          <w:sz w:val="27"/>
          <w:szCs w:val="27"/>
        </w:rPr>
        <w:t>е</w:t>
      </w:r>
      <w:r w:rsidR="0038795D" w:rsidRPr="003F6E95">
        <w:rPr>
          <w:rFonts w:ascii="Times New Roman" w:hAnsi="Times New Roman" w:cs="Times New Roman"/>
          <w:sz w:val="27"/>
          <w:szCs w:val="27"/>
        </w:rPr>
        <w:t xml:space="preserve">, поскольку </w:t>
      </w:r>
      <w:r w:rsidR="00A15304" w:rsidRPr="003F6E95">
        <w:rPr>
          <w:rFonts w:ascii="Times New Roman" w:hAnsi="Times New Roman" w:cs="Times New Roman"/>
          <w:sz w:val="27"/>
          <w:szCs w:val="27"/>
        </w:rPr>
        <w:t xml:space="preserve">вынуждают банки реализовывать свои активы </w:t>
      </w:r>
      <w:r w:rsidR="00D644CC" w:rsidRPr="003F6E95">
        <w:rPr>
          <w:rFonts w:ascii="Times New Roman" w:hAnsi="Times New Roman" w:cs="Times New Roman"/>
          <w:sz w:val="27"/>
          <w:szCs w:val="27"/>
        </w:rPr>
        <w:t>по заниженным ценам</w:t>
      </w:r>
      <w:r w:rsidRPr="003F6E95">
        <w:rPr>
          <w:rFonts w:ascii="Times New Roman" w:hAnsi="Times New Roman" w:cs="Times New Roman"/>
          <w:sz w:val="27"/>
          <w:szCs w:val="27"/>
        </w:rPr>
        <w:t xml:space="preserve">. </w:t>
      </w:r>
      <w:r w:rsidR="00A15304" w:rsidRPr="003F6E95">
        <w:rPr>
          <w:rFonts w:ascii="Times New Roman" w:hAnsi="Times New Roman" w:cs="Times New Roman"/>
          <w:sz w:val="27"/>
          <w:szCs w:val="27"/>
        </w:rPr>
        <w:t>«</w:t>
      </w:r>
      <w:r w:rsidR="0086593D" w:rsidRPr="003F6E95">
        <w:rPr>
          <w:rFonts w:ascii="Times New Roman" w:hAnsi="Times New Roman" w:cs="Times New Roman"/>
          <w:sz w:val="27"/>
          <w:szCs w:val="27"/>
        </w:rPr>
        <w:t>Дорогие</w:t>
      </w:r>
      <w:r w:rsidR="00A15304" w:rsidRPr="003F6E95">
        <w:rPr>
          <w:rFonts w:ascii="Times New Roman" w:hAnsi="Times New Roman" w:cs="Times New Roman"/>
          <w:sz w:val="27"/>
          <w:szCs w:val="27"/>
        </w:rPr>
        <w:t>»</w:t>
      </w:r>
      <w:r w:rsidR="0086593D" w:rsidRPr="003F6E95">
        <w:rPr>
          <w:rFonts w:ascii="Times New Roman" w:hAnsi="Times New Roman" w:cs="Times New Roman"/>
          <w:sz w:val="27"/>
          <w:szCs w:val="27"/>
        </w:rPr>
        <w:t xml:space="preserve"> кредиты ухудшают финансовую устойчивость эмитентов, что приводит к с</w:t>
      </w:r>
      <w:r w:rsidRPr="003F6E95">
        <w:rPr>
          <w:rFonts w:ascii="Times New Roman" w:hAnsi="Times New Roman" w:cs="Times New Roman"/>
          <w:sz w:val="27"/>
          <w:szCs w:val="27"/>
        </w:rPr>
        <w:t>нижени</w:t>
      </w:r>
      <w:r w:rsidR="0086593D" w:rsidRPr="003F6E95">
        <w:rPr>
          <w:rFonts w:ascii="Times New Roman" w:hAnsi="Times New Roman" w:cs="Times New Roman"/>
          <w:sz w:val="27"/>
          <w:szCs w:val="27"/>
        </w:rPr>
        <w:t>ю</w:t>
      </w:r>
      <w:r w:rsidRPr="003F6E95">
        <w:rPr>
          <w:rFonts w:ascii="Times New Roman" w:hAnsi="Times New Roman" w:cs="Times New Roman"/>
          <w:sz w:val="27"/>
          <w:szCs w:val="27"/>
        </w:rPr>
        <w:t xml:space="preserve"> кредитных рейтингов</w:t>
      </w:r>
      <w:r w:rsidR="0086593D" w:rsidRPr="003F6E95">
        <w:rPr>
          <w:rFonts w:ascii="Times New Roman" w:hAnsi="Times New Roman" w:cs="Times New Roman"/>
          <w:sz w:val="27"/>
          <w:szCs w:val="27"/>
        </w:rPr>
        <w:t xml:space="preserve"> и к дальнейшему снижению стоимости облигаций ввиду желания инвесторов получать дополнительное вознаграждение за увеличивающиеся риски</w:t>
      </w:r>
      <w:r w:rsidRPr="003F6E95">
        <w:rPr>
          <w:rFonts w:ascii="Times New Roman" w:hAnsi="Times New Roman" w:cs="Times New Roman"/>
          <w:sz w:val="27"/>
          <w:szCs w:val="27"/>
        </w:rPr>
        <w:t>.</w:t>
      </w:r>
      <w:r w:rsidR="0086593D" w:rsidRPr="003F6E9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2088E" w:rsidRDefault="0082088E" w:rsidP="003F6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6E95">
        <w:rPr>
          <w:rFonts w:ascii="Times New Roman" w:hAnsi="Times New Roman" w:cs="Times New Roman"/>
          <w:sz w:val="27"/>
          <w:szCs w:val="27"/>
        </w:rPr>
        <w:t>Рассмотрим структур</w:t>
      </w:r>
      <w:r w:rsidR="00950260" w:rsidRPr="003F6E95">
        <w:rPr>
          <w:rFonts w:ascii="Times New Roman" w:hAnsi="Times New Roman" w:cs="Times New Roman"/>
          <w:sz w:val="27"/>
          <w:szCs w:val="27"/>
        </w:rPr>
        <w:t>ы</w:t>
      </w:r>
      <w:r w:rsidRPr="003F6E95">
        <w:rPr>
          <w:rFonts w:ascii="Times New Roman" w:hAnsi="Times New Roman" w:cs="Times New Roman"/>
          <w:sz w:val="27"/>
          <w:szCs w:val="27"/>
        </w:rPr>
        <w:t xml:space="preserve"> процентных ставок (</w:t>
      </w:r>
      <w:r w:rsidRPr="003F6E95">
        <w:rPr>
          <w:rFonts w:ascii="Times New Roman" w:hAnsi="Times New Roman" w:cs="Times New Roman"/>
          <w:sz w:val="27"/>
          <w:szCs w:val="27"/>
          <w:lang w:val="en-US"/>
        </w:rPr>
        <w:t>G</w:t>
      </w:r>
      <w:r w:rsidRPr="003F6E95">
        <w:rPr>
          <w:rFonts w:ascii="Times New Roman" w:hAnsi="Times New Roman" w:cs="Times New Roman"/>
          <w:sz w:val="27"/>
          <w:szCs w:val="27"/>
        </w:rPr>
        <w:t xml:space="preserve"> - кривая) на 30.06.2008, 30.03.2009, 30.06.2014 и 29.12.2014:</w:t>
      </w:r>
    </w:p>
    <w:p w:rsidR="003F6E95" w:rsidRPr="003F6E95" w:rsidRDefault="003F6E95" w:rsidP="003F6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2088E" w:rsidRDefault="00DC6759" w:rsidP="0082088E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6276975" cy="25812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724E6" w:rsidRDefault="007724E6" w:rsidP="007724E6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7724E6">
        <w:rPr>
          <w:rFonts w:ascii="Times New Roman" w:hAnsi="Times New Roman" w:cs="Times New Roman"/>
          <w:sz w:val="20"/>
          <w:szCs w:val="20"/>
        </w:rPr>
        <w:t>Рис. 3: структуры процентных ставок (</w:t>
      </w:r>
      <w:r w:rsidRPr="007724E6">
        <w:rPr>
          <w:rFonts w:ascii="Times New Roman" w:hAnsi="Times New Roman" w:cs="Times New Roman"/>
          <w:sz w:val="20"/>
          <w:szCs w:val="20"/>
          <w:lang w:val="en-US"/>
        </w:rPr>
        <w:t>G</w:t>
      </w:r>
      <w:r w:rsidRPr="007724E6">
        <w:rPr>
          <w:rFonts w:ascii="Times New Roman" w:hAnsi="Times New Roman" w:cs="Times New Roman"/>
          <w:sz w:val="20"/>
          <w:szCs w:val="20"/>
        </w:rPr>
        <w:t xml:space="preserve"> - кривая) на 30.06.2008, 30.03.2009, 30.06.2014 и 29.12.2014. </w:t>
      </w:r>
    </w:p>
    <w:p w:rsidR="003F6E95" w:rsidRPr="007724E6" w:rsidRDefault="003F6E95" w:rsidP="007724E6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82088E" w:rsidRPr="003F6E95" w:rsidRDefault="0082088E" w:rsidP="003F6E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F6E95">
        <w:rPr>
          <w:rFonts w:ascii="Times New Roman" w:hAnsi="Times New Roman" w:cs="Times New Roman"/>
          <w:sz w:val="27"/>
          <w:szCs w:val="27"/>
        </w:rPr>
        <w:t xml:space="preserve">На </w:t>
      </w:r>
      <w:r w:rsidR="007724E6" w:rsidRPr="003F6E95">
        <w:rPr>
          <w:rFonts w:ascii="Times New Roman" w:hAnsi="Times New Roman" w:cs="Times New Roman"/>
          <w:sz w:val="27"/>
          <w:szCs w:val="27"/>
        </w:rPr>
        <w:t>рисунке</w:t>
      </w:r>
      <w:r w:rsidRPr="003F6E95">
        <w:rPr>
          <w:rFonts w:ascii="Times New Roman" w:hAnsi="Times New Roman" w:cs="Times New Roman"/>
          <w:sz w:val="27"/>
          <w:szCs w:val="27"/>
        </w:rPr>
        <w:t xml:space="preserve"> можно видеть, как изменя</w:t>
      </w:r>
      <w:r w:rsidR="00BC6205" w:rsidRPr="003F6E95">
        <w:rPr>
          <w:rFonts w:ascii="Times New Roman" w:hAnsi="Times New Roman" w:cs="Times New Roman"/>
          <w:sz w:val="27"/>
          <w:szCs w:val="27"/>
        </w:rPr>
        <w:t>ю</w:t>
      </w:r>
      <w:r w:rsidRPr="003F6E95">
        <w:rPr>
          <w:rFonts w:ascii="Times New Roman" w:hAnsi="Times New Roman" w:cs="Times New Roman"/>
          <w:sz w:val="27"/>
          <w:szCs w:val="27"/>
        </w:rPr>
        <w:t>тся структур</w:t>
      </w:r>
      <w:r w:rsidR="00BC6205" w:rsidRPr="003F6E95">
        <w:rPr>
          <w:rFonts w:ascii="Times New Roman" w:hAnsi="Times New Roman" w:cs="Times New Roman"/>
          <w:sz w:val="27"/>
          <w:szCs w:val="27"/>
        </w:rPr>
        <w:t>ы</w:t>
      </w:r>
      <w:r w:rsidRPr="003F6E95">
        <w:rPr>
          <w:rFonts w:ascii="Times New Roman" w:hAnsi="Times New Roman" w:cs="Times New Roman"/>
          <w:sz w:val="27"/>
          <w:szCs w:val="27"/>
        </w:rPr>
        <w:t xml:space="preserve"> процентных ставок в условиях кризиса. Рост краткосрочных ставок</w:t>
      </w:r>
      <w:r w:rsidR="00B6099A" w:rsidRPr="003F6E95">
        <w:rPr>
          <w:rFonts w:ascii="Times New Roman" w:hAnsi="Times New Roman" w:cs="Times New Roman"/>
          <w:sz w:val="27"/>
          <w:szCs w:val="27"/>
        </w:rPr>
        <w:t>, за соответствующие периоды,</w:t>
      </w:r>
      <w:r w:rsidRPr="003F6E95">
        <w:rPr>
          <w:rFonts w:ascii="Times New Roman" w:hAnsi="Times New Roman" w:cs="Times New Roman"/>
          <w:sz w:val="27"/>
          <w:szCs w:val="27"/>
        </w:rPr>
        <w:t xml:space="preserve"> </w:t>
      </w:r>
      <w:r w:rsidR="00BC6205" w:rsidRPr="003F6E95">
        <w:rPr>
          <w:rFonts w:ascii="Times New Roman" w:hAnsi="Times New Roman" w:cs="Times New Roman"/>
          <w:sz w:val="27"/>
          <w:szCs w:val="27"/>
        </w:rPr>
        <w:t>превы</w:t>
      </w:r>
      <w:r w:rsidR="00B6099A" w:rsidRPr="003F6E95">
        <w:rPr>
          <w:rFonts w:ascii="Times New Roman" w:hAnsi="Times New Roman" w:cs="Times New Roman"/>
          <w:sz w:val="27"/>
          <w:szCs w:val="27"/>
        </w:rPr>
        <w:t>шал</w:t>
      </w:r>
      <w:r w:rsidRPr="003F6E95">
        <w:rPr>
          <w:rFonts w:ascii="Times New Roman" w:hAnsi="Times New Roman" w:cs="Times New Roman"/>
          <w:sz w:val="27"/>
          <w:szCs w:val="27"/>
        </w:rPr>
        <w:t xml:space="preserve"> 600 б.п. </w:t>
      </w:r>
      <w:r w:rsidR="00BC6205" w:rsidRPr="003F6E95">
        <w:rPr>
          <w:rFonts w:ascii="Times New Roman" w:hAnsi="Times New Roman" w:cs="Times New Roman"/>
          <w:sz w:val="27"/>
          <w:szCs w:val="27"/>
        </w:rPr>
        <w:t xml:space="preserve">Более сильный сдвиг кривой в 2014 году (по сравнению с 2008 годом) </w:t>
      </w:r>
      <w:r w:rsidR="00DE4659" w:rsidRPr="003F6E95">
        <w:rPr>
          <w:rFonts w:ascii="Times New Roman" w:hAnsi="Times New Roman" w:cs="Times New Roman"/>
          <w:sz w:val="27"/>
          <w:szCs w:val="27"/>
        </w:rPr>
        <w:t>может быть обусловлен одновременно несколькими факторами: ограничением доступа кредитных организаций к финансовым рынкам США и ЕС, девальвацией рубля</w:t>
      </w:r>
      <w:r w:rsidR="00C80894" w:rsidRPr="003F6E95">
        <w:rPr>
          <w:rFonts w:ascii="Times New Roman" w:hAnsi="Times New Roman" w:cs="Times New Roman"/>
          <w:sz w:val="27"/>
          <w:szCs w:val="27"/>
        </w:rPr>
        <w:t xml:space="preserve"> и</w:t>
      </w:r>
      <w:r w:rsidR="00DE4659" w:rsidRPr="003F6E95">
        <w:rPr>
          <w:rFonts w:ascii="Times New Roman" w:hAnsi="Times New Roman" w:cs="Times New Roman"/>
          <w:sz w:val="27"/>
          <w:szCs w:val="27"/>
        </w:rPr>
        <w:t xml:space="preserve"> </w:t>
      </w:r>
      <w:r w:rsidR="00CE2802" w:rsidRPr="003F6E95">
        <w:rPr>
          <w:rFonts w:ascii="Times New Roman" w:hAnsi="Times New Roman" w:cs="Times New Roman"/>
          <w:sz w:val="27"/>
          <w:szCs w:val="27"/>
        </w:rPr>
        <w:t>оттоком капитала.</w:t>
      </w:r>
    </w:p>
    <w:p w:rsidR="00A15304" w:rsidRPr="003F6E95" w:rsidRDefault="00BC6205" w:rsidP="003F6E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F6E95">
        <w:rPr>
          <w:rFonts w:ascii="Times New Roman" w:hAnsi="Times New Roman" w:cs="Times New Roman"/>
          <w:sz w:val="27"/>
          <w:szCs w:val="27"/>
        </w:rPr>
        <w:t xml:space="preserve">Проблему ликвидности в кредитных организациях попытались учесть </w:t>
      </w:r>
      <w:r w:rsidR="002D2FD8" w:rsidRPr="003F6E95">
        <w:rPr>
          <w:rFonts w:ascii="Times New Roman" w:hAnsi="Times New Roman" w:cs="Times New Roman"/>
          <w:sz w:val="27"/>
          <w:szCs w:val="27"/>
        </w:rPr>
        <w:t>при создании</w:t>
      </w:r>
      <w:r w:rsidR="00A15304" w:rsidRPr="003F6E95">
        <w:rPr>
          <w:rFonts w:ascii="Times New Roman" w:hAnsi="Times New Roman" w:cs="Times New Roman"/>
          <w:sz w:val="27"/>
          <w:szCs w:val="27"/>
        </w:rPr>
        <w:t xml:space="preserve"> </w:t>
      </w:r>
      <w:r w:rsidR="00A15304" w:rsidRPr="003F6E95">
        <w:rPr>
          <w:rFonts w:ascii="Times New Roman" w:hAnsi="Times New Roman" w:cs="Times New Roman"/>
          <w:sz w:val="27"/>
          <w:szCs w:val="27"/>
          <w:lang w:val="en-US"/>
        </w:rPr>
        <w:t>Basel</w:t>
      </w:r>
      <w:r w:rsidR="00A15304" w:rsidRPr="003F6E95">
        <w:rPr>
          <w:rFonts w:ascii="Times New Roman" w:hAnsi="Times New Roman" w:cs="Times New Roman"/>
          <w:sz w:val="27"/>
          <w:szCs w:val="27"/>
        </w:rPr>
        <w:t xml:space="preserve"> 3 </w:t>
      </w:r>
      <w:r w:rsidRPr="003F6E95">
        <w:rPr>
          <w:rFonts w:ascii="Times New Roman" w:hAnsi="Times New Roman" w:cs="Times New Roman"/>
          <w:sz w:val="27"/>
          <w:szCs w:val="27"/>
        </w:rPr>
        <w:t>(</w:t>
      </w:r>
      <w:r w:rsidRPr="003F6E95">
        <w:rPr>
          <w:rFonts w:ascii="Times New Roman" w:hAnsi="Times New Roman" w:cs="Times New Roman"/>
          <w:sz w:val="27"/>
          <w:szCs w:val="27"/>
          <w:lang w:val="en-US"/>
        </w:rPr>
        <w:t>Liquidity</w:t>
      </w:r>
      <w:r w:rsidRPr="003F6E95">
        <w:rPr>
          <w:rFonts w:ascii="Times New Roman" w:hAnsi="Times New Roman" w:cs="Times New Roman"/>
          <w:sz w:val="27"/>
          <w:szCs w:val="27"/>
        </w:rPr>
        <w:t xml:space="preserve"> </w:t>
      </w:r>
      <w:r w:rsidRPr="003F6E95">
        <w:rPr>
          <w:rFonts w:ascii="Times New Roman" w:hAnsi="Times New Roman" w:cs="Times New Roman"/>
          <w:sz w:val="27"/>
          <w:szCs w:val="27"/>
          <w:lang w:val="en-US"/>
        </w:rPr>
        <w:t>Coverage</w:t>
      </w:r>
      <w:r w:rsidRPr="003F6E95">
        <w:rPr>
          <w:rFonts w:ascii="Times New Roman" w:hAnsi="Times New Roman" w:cs="Times New Roman"/>
          <w:sz w:val="27"/>
          <w:szCs w:val="27"/>
        </w:rPr>
        <w:t xml:space="preserve"> </w:t>
      </w:r>
      <w:r w:rsidRPr="003F6E95">
        <w:rPr>
          <w:rFonts w:ascii="Times New Roman" w:hAnsi="Times New Roman" w:cs="Times New Roman"/>
          <w:sz w:val="27"/>
          <w:szCs w:val="27"/>
          <w:lang w:val="en-US"/>
        </w:rPr>
        <w:t>Ratio</w:t>
      </w:r>
      <w:r w:rsidRPr="003F6E95">
        <w:rPr>
          <w:rFonts w:ascii="Times New Roman" w:hAnsi="Times New Roman" w:cs="Times New Roman"/>
          <w:sz w:val="27"/>
          <w:szCs w:val="27"/>
        </w:rPr>
        <w:t xml:space="preserve">, </w:t>
      </w:r>
      <w:r w:rsidRPr="003F6E95">
        <w:rPr>
          <w:rFonts w:ascii="Times New Roman" w:hAnsi="Times New Roman" w:cs="Times New Roman"/>
          <w:sz w:val="27"/>
          <w:szCs w:val="27"/>
          <w:lang w:val="en-US"/>
        </w:rPr>
        <w:t>Net</w:t>
      </w:r>
      <w:r w:rsidRPr="003F6E95">
        <w:rPr>
          <w:rFonts w:ascii="Times New Roman" w:hAnsi="Times New Roman" w:cs="Times New Roman"/>
          <w:sz w:val="27"/>
          <w:szCs w:val="27"/>
        </w:rPr>
        <w:t xml:space="preserve"> </w:t>
      </w:r>
      <w:r w:rsidRPr="003F6E95">
        <w:rPr>
          <w:rFonts w:ascii="Times New Roman" w:hAnsi="Times New Roman" w:cs="Times New Roman"/>
          <w:sz w:val="27"/>
          <w:szCs w:val="27"/>
          <w:lang w:val="en-US"/>
        </w:rPr>
        <w:t>Stable</w:t>
      </w:r>
      <w:r w:rsidRPr="003F6E95">
        <w:rPr>
          <w:rFonts w:ascii="Times New Roman" w:hAnsi="Times New Roman" w:cs="Times New Roman"/>
          <w:sz w:val="27"/>
          <w:szCs w:val="27"/>
        </w:rPr>
        <w:t xml:space="preserve"> </w:t>
      </w:r>
      <w:r w:rsidRPr="003F6E95">
        <w:rPr>
          <w:rFonts w:ascii="Times New Roman" w:hAnsi="Times New Roman" w:cs="Times New Roman"/>
          <w:sz w:val="27"/>
          <w:szCs w:val="27"/>
          <w:lang w:val="en-US"/>
        </w:rPr>
        <w:t>Funding</w:t>
      </w:r>
      <w:r w:rsidRPr="003F6E95">
        <w:rPr>
          <w:rFonts w:ascii="Times New Roman" w:hAnsi="Times New Roman" w:cs="Times New Roman"/>
          <w:sz w:val="27"/>
          <w:szCs w:val="27"/>
        </w:rPr>
        <w:t xml:space="preserve"> </w:t>
      </w:r>
      <w:r w:rsidRPr="003F6E95">
        <w:rPr>
          <w:rFonts w:ascii="Times New Roman" w:hAnsi="Times New Roman" w:cs="Times New Roman"/>
          <w:sz w:val="27"/>
          <w:szCs w:val="27"/>
          <w:lang w:val="en-US"/>
        </w:rPr>
        <w:t>Ratio</w:t>
      </w:r>
      <w:r w:rsidRPr="003F6E95">
        <w:rPr>
          <w:rFonts w:ascii="Times New Roman" w:hAnsi="Times New Roman" w:cs="Times New Roman"/>
          <w:sz w:val="27"/>
          <w:szCs w:val="27"/>
        </w:rPr>
        <w:t xml:space="preserve">), внедрение которого </w:t>
      </w:r>
      <w:r w:rsidR="003B0BC4" w:rsidRPr="003F6E95">
        <w:rPr>
          <w:rFonts w:ascii="Times New Roman" w:hAnsi="Times New Roman" w:cs="Times New Roman"/>
          <w:sz w:val="27"/>
          <w:szCs w:val="27"/>
        </w:rPr>
        <w:t xml:space="preserve">в настоящее время </w:t>
      </w:r>
      <w:r w:rsidRPr="003F6E95">
        <w:rPr>
          <w:rFonts w:ascii="Times New Roman" w:hAnsi="Times New Roman" w:cs="Times New Roman"/>
          <w:sz w:val="27"/>
          <w:szCs w:val="27"/>
        </w:rPr>
        <w:t>осуществляется в Российской Федерации</w:t>
      </w:r>
      <w:r w:rsidR="002D2FD8" w:rsidRPr="003F6E95">
        <w:rPr>
          <w:rFonts w:ascii="Times New Roman" w:hAnsi="Times New Roman" w:cs="Times New Roman"/>
          <w:sz w:val="27"/>
          <w:szCs w:val="27"/>
        </w:rPr>
        <w:t>. Согласно плану внедрения показатель краткосрочной ликвидности должен быть внедрен до конца 2015 года, а показатель чистого стабильного фондирования только в 2018 году.</w:t>
      </w:r>
      <w:r w:rsidR="003B0BC4" w:rsidRPr="003F6E95">
        <w:rPr>
          <w:rFonts w:ascii="Times New Roman" w:hAnsi="Times New Roman" w:cs="Times New Roman"/>
          <w:sz w:val="27"/>
          <w:szCs w:val="27"/>
        </w:rPr>
        <w:t xml:space="preserve"> </w:t>
      </w:r>
      <w:r w:rsidR="003B0BC4" w:rsidRPr="003F6E95">
        <w:rPr>
          <w:rFonts w:ascii="Times New Roman" w:hAnsi="Times New Roman" w:cs="Times New Roman"/>
          <w:sz w:val="27"/>
          <w:szCs w:val="27"/>
        </w:rPr>
        <w:lastRenderedPageBreak/>
        <w:t>Формирование буфера консервации капитала (</w:t>
      </w:r>
      <w:r w:rsidR="003B0BC4" w:rsidRPr="003F6E95">
        <w:rPr>
          <w:rFonts w:ascii="Times New Roman" w:hAnsi="Times New Roman" w:cs="Times New Roman"/>
          <w:sz w:val="27"/>
          <w:szCs w:val="27"/>
          <w:lang w:val="en-US"/>
        </w:rPr>
        <w:t>Capital</w:t>
      </w:r>
      <w:r w:rsidR="003B0BC4" w:rsidRPr="003F6E95">
        <w:rPr>
          <w:rFonts w:ascii="Times New Roman" w:hAnsi="Times New Roman" w:cs="Times New Roman"/>
          <w:sz w:val="27"/>
          <w:szCs w:val="27"/>
        </w:rPr>
        <w:t xml:space="preserve"> </w:t>
      </w:r>
      <w:r w:rsidR="003B0BC4" w:rsidRPr="003F6E95">
        <w:rPr>
          <w:rFonts w:ascii="Times New Roman" w:hAnsi="Times New Roman" w:cs="Times New Roman"/>
          <w:sz w:val="27"/>
          <w:szCs w:val="27"/>
          <w:lang w:val="en-US"/>
        </w:rPr>
        <w:t>conservation</w:t>
      </w:r>
      <w:r w:rsidR="003B0BC4" w:rsidRPr="003F6E95">
        <w:rPr>
          <w:rFonts w:ascii="Times New Roman" w:hAnsi="Times New Roman" w:cs="Times New Roman"/>
          <w:sz w:val="27"/>
          <w:szCs w:val="27"/>
        </w:rPr>
        <w:t xml:space="preserve"> </w:t>
      </w:r>
      <w:r w:rsidR="003B0BC4" w:rsidRPr="003F6E95">
        <w:rPr>
          <w:rFonts w:ascii="Times New Roman" w:hAnsi="Times New Roman" w:cs="Times New Roman"/>
          <w:sz w:val="27"/>
          <w:szCs w:val="27"/>
          <w:lang w:val="en-US"/>
        </w:rPr>
        <w:t>buffer</w:t>
      </w:r>
      <w:r w:rsidR="003B0BC4" w:rsidRPr="003F6E95">
        <w:rPr>
          <w:rFonts w:ascii="Times New Roman" w:hAnsi="Times New Roman" w:cs="Times New Roman"/>
          <w:sz w:val="27"/>
          <w:szCs w:val="27"/>
        </w:rPr>
        <w:t xml:space="preserve">) </w:t>
      </w:r>
      <w:proofErr w:type="gramStart"/>
      <w:r w:rsidR="003B0BC4" w:rsidRPr="003F6E95">
        <w:rPr>
          <w:rFonts w:ascii="Times New Roman" w:hAnsi="Times New Roman" w:cs="Times New Roman"/>
          <w:sz w:val="27"/>
          <w:szCs w:val="27"/>
        </w:rPr>
        <w:t>станет необходимым для российских кредитных организаций начиная</w:t>
      </w:r>
      <w:proofErr w:type="gramEnd"/>
      <w:r w:rsidR="003B0BC4" w:rsidRPr="003F6E95">
        <w:rPr>
          <w:rFonts w:ascii="Times New Roman" w:hAnsi="Times New Roman" w:cs="Times New Roman"/>
          <w:sz w:val="27"/>
          <w:szCs w:val="27"/>
        </w:rPr>
        <w:t xml:space="preserve"> с 2016 года.</w:t>
      </w:r>
    </w:p>
    <w:p w:rsidR="004754FF" w:rsidRPr="003F6E95" w:rsidRDefault="00950260" w:rsidP="003F6E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F6E95">
        <w:rPr>
          <w:rFonts w:ascii="Times New Roman" w:hAnsi="Times New Roman" w:cs="Times New Roman"/>
          <w:sz w:val="27"/>
          <w:szCs w:val="27"/>
        </w:rPr>
        <w:t xml:space="preserve">Рассмотрим </w:t>
      </w:r>
      <w:r w:rsidR="001E0693" w:rsidRPr="003F6E95">
        <w:rPr>
          <w:rFonts w:ascii="Times New Roman" w:hAnsi="Times New Roman" w:cs="Times New Roman"/>
          <w:sz w:val="27"/>
          <w:szCs w:val="27"/>
        </w:rPr>
        <w:t>поведение котировок</w:t>
      </w:r>
      <w:r w:rsidRPr="003F6E95">
        <w:rPr>
          <w:rFonts w:ascii="Times New Roman" w:hAnsi="Times New Roman" w:cs="Times New Roman"/>
          <w:sz w:val="27"/>
          <w:szCs w:val="27"/>
        </w:rPr>
        <w:t xml:space="preserve"> облигаци</w:t>
      </w:r>
      <w:r w:rsidR="00472051" w:rsidRPr="003F6E95">
        <w:rPr>
          <w:rFonts w:ascii="Times New Roman" w:hAnsi="Times New Roman" w:cs="Times New Roman"/>
          <w:sz w:val="27"/>
          <w:szCs w:val="27"/>
        </w:rPr>
        <w:t>й</w:t>
      </w:r>
      <w:r w:rsidR="001E0693" w:rsidRPr="003F6E95">
        <w:rPr>
          <w:rFonts w:ascii="Times New Roman" w:hAnsi="Times New Roman" w:cs="Times New Roman"/>
          <w:sz w:val="27"/>
          <w:szCs w:val="27"/>
        </w:rPr>
        <w:t xml:space="preserve"> российских хозяйственных обществ в условиях неустойчивой рыночной конъюнктуры 2014 года</w:t>
      </w:r>
      <w:r w:rsidR="00472051" w:rsidRPr="003F6E95">
        <w:rPr>
          <w:rFonts w:ascii="Times New Roman" w:hAnsi="Times New Roman" w:cs="Times New Roman"/>
          <w:sz w:val="27"/>
          <w:szCs w:val="27"/>
        </w:rPr>
        <w:t xml:space="preserve">. С этой целью, сформируем модельный портфель облигаций, </w:t>
      </w:r>
      <w:r w:rsidR="00442C59" w:rsidRPr="003F6E95">
        <w:rPr>
          <w:rFonts w:ascii="Times New Roman" w:hAnsi="Times New Roman" w:cs="Times New Roman"/>
          <w:sz w:val="27"/>
          <w:szCs w:val="27"/>
        </w:rPr>
        <w:t xml:space="preserve">состоящий из ценных бумаг, на основе которых Московская биржа ММВБ рассчитывает </w:t>
      </w:r>
      <w:proofErr w:type="spellStart"/>
      <w:r w:rsidR="00442C59" w:rsidRPr="003F6E95">
        <w:rPr>
          <w:rFonts w:ascii="Times New Roman" w:hAnsi="Times New Roman" w:cs="Times New Roman"/>
          <w:sz w:val="27"/>
          <w:szCs w:val="27"/>
        </w:rPr>
        <w:t>субиндекс</w:t>
      </w:r>
      <w:proofErr w:type="spellEnd"/>
      <w:r w:rsidR="00442C59" w:rsidRPr="003F6E95">
        <w:rPr>
          <w:rFonts w:ascii="Times New Roman" w:hAnsi="Times New Roman" w:cs="Times New Roman"/>
          <w:sz w:val="27"/>
          <w:szCs w:val="27"/>
        </w:rPr>
        <w:t xml:space="preserve"> облигаций индексов пенсионных накоплений (</w:t>
      </w:r>
      <w:r w:rsidR="00442C59" w:rsidRPr="003F6E95">
        <w:rPr>
          <w:rFonts w:ascii="Times New Roman" w:hAnsi="Times New Roman" w:cs="Times New Roman"/>
          <w:sz w:val="27"/>
          <w:szCs w:val="27"/>
          <w:lang w:val="en-US"/>
        </w:rPr>
        <w:t>RUPAI</w:t>
      </w:r>
      <w:r w:rsidR="00442C59" w:rsidRPr="003F6E95">
        <w:rPr>
          <w:rFonts w:ascii="Times New Roman" w:hAnsi="Times New Roman" w:cs="Times New Roman"/>
          <w:sz w:val="27"/>
          <w:szCs w:val="27"/>
        </w:rPr>
        <w:t xml:space="preserve">, </w:t>
      </w:r>
      <w:r w:rsidR="00442C59" w:rsidRPr="003F6E95">
        <w:rPr>
          <w:rFonts w:ascii="Times New Roman" w:hAnsi="Times New Roman" w:cs="Times New Roman"/>
          <w:sz w:val="27"/>
          <w:szCs w:val="27"/>
          <w:lang w:val="en-US"/>
        </w:rPr>
        <w:t>RUPMI</w:t>
      </w:r>
      <w:r w:rsidR="00442C59" w:rsidRPr="003F6E95">
        <w:rPr>
          <w:rFonts w:ascii="Times New Roman" w:hAnsi="Times New Roman" w:cs="Times New Roman"/>
          <w:sz w:val="27"/>
          <w:szCs w:val="27"/>
        </w:rPr>
        <w:t xml:space="preserve"> и </w:t>
      </w:r>
      <w:r w:rsidR="00442C59" w:rsidRPr="003F6E95">
        <w:rPr>
          <w:rFonts w:ascii="Times New Roman" w:hAnsi="Times New Roman" w:cs="Times New Roman"/>
          <w:sz w:val="27"/>
          <w:szCs w:val="27"/>
          <w:lang w:val="en-US"/>
        </w:rPr>
        <w:t>RUPCI</w:t>
      </w:r>
      <w:r w:rsidR="00442C59" w:rsidRPr="003F6E95">
        <w:rPr>
          <w:rFonts w:ascii="Times New Roman" w:hAnsi="Times New Roman" w:cs="Times New Roman"/>
          <w:sz w:val="27"/>
          <w:szCs w:val="27"/>
        </w:rPr>
        <w:t>). Предположим, что состав портфеля облигаций меняется</w:t>
      </w:r>
      <w:r w:rsidR="00A80D57" w:rsidRPr="003F6E95">
        <w:rPr>
          <w:rFonts w:ascii="Times New Roman" w:hAnsi="Times New Roman" w:cs="Times New Roman"/>
          <w:sz w:val="27"/>
          <w:szCs w:val="27"/>
        </w:rPr>
        <w:t xml:space="preserve"> в соответствии с изменением списка облигаций</w:t>
      </w:r>
      <w:r w:rsidR="00D3061E" w:rsidRPr="003F6E95">
        <w:rPr>
          <w:rFonts w:ascii="Times New Roman" w:hAnsi="Times New Roman" w:cs="Times New Roman"/>
          <w:sz w:val="27"/>
          <w:szCs w:val="27"/>
        </w:rPr>
        <w:t>,</w:t>
      </w:r>
      <w:r w:rsidR="00A80D57" w:rsidRPr="003F6E95">
        <w:rPr>
          <w:rFonts w:ascii="Times New Roman" w:hAnsi="Times New Roman" w:cs="Times New Roman"/>
          <w:sz w:val="27"/>
          <w:szCs w:val="27"/>
        </w:rPr>
        <w:t xml:space="preserve"> применяемых при расчете </w:t>
      </w:r>
      <w:proofErr w:type="spellStart"/>
      <w:r w:rsidR="00A80D57" w:rsidRPr="003F6E95">
        <w:rPr>
          <w:rFonts w:ascii="Times New Roman" w:hAnsi="Times New Roman" w:cs="Times New Roman"/>
          <w:sz w:val="27"/>
          <w:szCs w:val="27"/>
        </w:rPr>
        <w:t>субиндекса</w:t>
      </w:r>
      <w:proofErr w:type="spellEnd"/>
      <w:r w:rsidR="00A80D57" w:rsidRPr="003F6E95">
        <w:rPr>
          <w:rFonts w:ascii="Times New Roman" w:hAnsi="Times New Roman" w:cs="Times New Roman"/>
          <w:sz w:val="27"/>
          <w:szCs w:val="27"/>
        </w:rPr>
        <w:t xml:space="preserve"> облигаций (17.12.2013г., 18.03.2014г., 17.06.2014г., 16.09.</w:t>
      </w:r>
      <w:r w:rsidR="009F31DD" w:rsidRPr="003F6E95">
        <w:rPr>
          <w:rFonts w:ascii="Times New Roman" w:hAnsi="Times New Roman" w:cs="Times New Roman"/>
          <w:sz w:val="27"/>
          <w:szCs w:val="27"/>
        </w:rPr>
        <w:t xml:space="preserve">2014г., 16.12.2014г., 17.03.2015г. </w:t>
      </w:r>
      <w:hyperlink r:id="rId14" w:history="1">
        <w:r w:rsidR="009F31DD" w:rsidRPr="003F6E95">
          <w:rPr>
            <w:rStyle w:val="a4"/>
            <w:rFonts w:ascii="Times New Roman" w:hAnsi="Times New Roman" w:cs="Times New Roman"/>
            <w:sz w:val="27"/>
            <w:szCs w:val="27"/>
          </w:rPr>
          <w:t>http://moex.com/a1391</w:t>
        </w:r>
      </w:hyperlink>
      <w:r w:rsidR="00A80D57" w:rsidRPr="003F6E95">
        <w:rPr>
          <w:rFonts w:ascii="Times New Roman" w:hAnsi="Times New Roman" w:cs="Times New Roman"/>
          <w:sz w:val="27"/>
          <w:szCs w:val="27"/>
        </w:rPr>
        <w:t>)</w:t>
      </w:r>
      <w:r w:rsidR="00442C59" w:rsidRPr="003F6E95">
        <w:rPr>
          <w:rFonts w:ascii="Times New Roman" w:hAnsi="Times New Roman" w:cs="Times New Roman"/>
          <w:sz w:val="27"/>
          <w:szCs w:val="27"/>
        </w:rPr>
        <w:t>.</w:t>
      </w:r>
      <w:r w:rsidR="009F31DD" w:rsidRPr="003F6E95">
        <w:rPr>
          <w:rFonts w:ascii="Times New Roman" w:hAnsi="Times New Roman" w:cs="Times New Roman"/>
          <w:sz w:val="27"/>
          <w:szCs w:val="27"/>
        </w:rPr>
        <w:t xml:space="preserve"> Вес </w:t>
      </w:r>
      <w:r w:rsidR="001E0693" w:rsidRPr="003F6E95">
        <w:rPr>
          <w:rFonts w:ascii="Times New Roman" w:hAnsi="Times New Roman" w:cs="Times New Roman"/>
          <w:sz w:val="27"/>
          <w:szCs w:val="27"/>
        </w:rPr>
        <w:t>каждого</w:t>
      </w:r>
      <w:r w:rsidR="009F31DD" w:rsidRPr="003F6E95">
        <w:rPr>
          <w:rFonts w:ascii="Times New Roman" w:hAnsi="Times New Roman" w:cs="Times New Roman"/>
          <w:sz w:val="27"/>
          <w:szCs w:val="27"/>
        </w:rPr>
        <w:t xml:space="preserve"> выпуска облигаций в портфеле принимается </w:t>
      </w:r>
      <w:proofErr w:type="gramStart"/>
      <w:r w:rsidR="009F31DD" w:rsidRPr="003F6E95">
        <w:rPr>
          <w:rFonts w:ascii="Times New Roman" w:hAnsi="Times New Roman" w:cs="Times New Roman"/>
          <w:sz w:val="27"/>
          <w:szCs w:val="27"/>
        </w:rPr>
        <w:t>равным</w:t>
      </w:r>
      <w:proofErr w:type="gramEnd"/>
      <w:r w:rsidR="009F31DD" w:rsidRPr="003F6E95">
        <w:rPr>
          <w:rFonts w:ascii="Times New Roman" w:hAnsi="Times New Roman" w:cs="Times New Roman"/>
          <w:sz w:val="27"/>
          <w:szCs w:val="27"/>
        </w:rPr>
        <w:t xml:space="preserve"> весу таких облигаций в </w:t>
      </w:r>
      <w:proofErr w:type="spellStart"/>
      <w:r w:rsidR="009F31DD" w:rsidRPr="003F6E95">
        <w:rPr>
          <w:rFonts w:ascii="Times New Roman" w:hAnsi="Times New Roman" w:cs="Times New Roman"/>
          <w:sz w:val="27"/>
          <w:szCs w:val="27"/>
        </w:rPr>
        <w:t>субиндексе</w:t>
      </w:r>
      <w:proofErr w:type="spellEnd"/>
      <w:r w:rsidR="009F31DD" w:rsidRPr="003F6E95">
        <w:rPr>
          <w:rFonts w:ascii="Times New Roman" w:hAnsi="Times New Roman" w:cs="Times New Roman"/>
          <w:sz w:val="27"/>
          <w:szCs w:val="27"/>
        </w:rPr>
        <w:t xml:space="preserve"> облигаций. </w:t>
      </w:r>
    </w:p>
    <w:p w:rsidR="00D44E9F" w:rsidRDefault="00D44E9F" w:rsidP="003F6E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F6E95">
        <w:rPr>
          <w:rFonts w:ascii="Times New Roman" w:hAnsi="Times New Roman" w:cs="Times New Roman"/>
          <w:sz w:val="27"/>
          <w:szCs w:val="27"/>
        </w:rPr>
        <w:t xml:space="preserve">Рассмотрим </w:t>
      </w:r>
      <w:r w:rsidR="001E0693" w:rsidRPr="003F6E95">
        <w:rPr>
          <w:rFonts w:ascii="Times New Roman" w:hAnsi="Times New Roman" w:cs="Times New Roman"/>
          <w:sz w:val="27"/>
          <w:szCs w:val="27"/>
        </w:rPr>
        <w:t xml:space="preserve">изменение </w:t>
      </w:r>
      <w:proofErr w:type="spellStart"/>
      <w:r w:rsidR="001E0693" w:rsidRPr="003F6E95">
        <w:rPr>
          <w:rFonts w:ascii="Times New Roman" w:hAnsi="Times New Roman" w:cs="Times New Roman"/>
          <w:sz w:val="27"/>
          <w:szCs w:val="27"/>
        </w:rPr>
        <w:t>дюрации</w:t>
      </w:r>
      <w:proofErr w:type="spellEnd"/>
      <w:r w:rsidR="001E0693" w:rsidRPr="003F6E95">
        <w:rPr>
          <w:rFonts w:ascii="Times New Roman" w:hAnsi="Times New Roman" w:cs="Times New Roman"/>
          <w:sz w:val="27"/>
          <w:szCs w:val="27"/>
        </w:rPr>
        <w:t xml:space="preserve"> модельного портфеля с учетом изменения списка и веса облигаций входящих в состав </w:t>
      </w:r>
      <w:proofErr w:type="spellStart"/>
      <w:r w:rsidR="001E0693" w:rsidRPr="003F6E95">
        <w:rPr>
          <w:rFonts w:ascii="Times New Roman" w:hAnsi="Times New Roman" w:cs="Times New Roman"/>
          <w:sz w:val="27"/>
          <w:szCs w:val="27"/>
        </w:rPr>
        <w:t>субиндекса</w:t>
      </w:r>
      <w:proofErr w:type="spellEnd"/>
      <w:r w:rsidR="001E0693" w:rsidRPr="003F6E95">
        <w:rPr>
          <w:rFonts w:ascii="Times New Roman" w:hAnsi="Times New Roman" w:cs="Times New Roman"/>
          <w:sz w:val="27"/>
          <w:szCs w:val="27"/>
        </w:rPr>
        <w:t xml:space="preserve"> облигаций</w:t>
      </w:r>
      <w:r w:rsidR="00AC24F5" w:rsidRPr="003F6E95">
        <w:rPr>
          <w:rFonts w:ascii="Times New Roman" w:hAnsi="Times New Roman" w:cs="Times New Roman"/>
          <w:sz w:val="27"/>
          <w:szCs w:val="27"/>
        </w:rPr>
        <w:t xml:space="preserve"> и</w:t>
      </w:r>
      <w:r w:rsidR="001E0693" w:rsidRPr="003F6E95">
        <w:rPr>
          <w:rFonts w:ascii="Times New Roman" w:hAnsi="Times New Roman" w:cs="Times New Roman"/>
          <w:sz w:val="27"/>
          <w:szCs w:val="27"/>
        </w:rPr>
        <w:t xml:space="preserve"> изменение ликвидности модельного портфеля (</w:t>
      </w:r>
      <w:r w:rsidR="007510E3" w:rsidRPr="003F6E95">
        <w:rPr>
          <w:rFonts w:ascii="Times New Roman" w:hAnsi="Times New Roman" w:cs="Times New Roman"/>
          <w:sz w:val="27"/>
          <w:szCs w:val="27"/>
        </w:rPr>
        <w:t>изменени</w:t>
      </w:r>
      <w:r w:rsidR="003B753E" w:rsidRPr="003F6E95">
        <w:rPr>
          <w:rFonts w:ascii="Times New Roman" w:hAnsi="Times New Roman" w:cs="Times New Roman"/>
          <w:sz w:val="27"/>
          <w:szCs w:val="27"/>
        </w:rPr>
        <w:t>е</w:t>
      </w:r>
      <w:r w:rsidR="001E0693" w:rsidRPr="003F6E95">
        <w:rPr>
          <w:rFonts w:ascii="Times New Roman" w:hAnsi="Times New Roman" w:cs="Times New Roman"/>
          <w:sz w:val="27"/>
          <w:szCs w:val="27"/>
        </w:rPr>
        <w:t xml:space="preserve"> показателя </w:t>
      </w:r>
      <w:r w:rsidR="001E0693" w:rsidRPr="003F6E95">
        <w:rPr>
          <w:rFonts w:ascii="Times New Roman" w:hAnsi="Times New Roman" w:cs="Times New Roman"/>
          <w:sz w:val="27"/>
          <w:szCs w:val="27"/>
          <w:lang w:val="en-US"/>
        </w:rPr>
        <w:t>Liquidity</w:t>
      </w:r>
      <w:r w:rsidR="001E0693" w:rsidRPr="003F6E95">
        <w:rPr>
          <w:rFonts w:ascii="Times New Roman" w:hAnsi="Times New Roman" w:cs="Times New Roman"/>
          <w:sz w:val="27"/>
          <w:szCs w:val="27"/>
        </w:rPr>
        <w:t xml:space="preserve"> </w:t>
      </w:r>
      <w:r w:rsidR="001E0693" w:rsidRPr="003F6E95">
        <w:rPr>
          <w:rFonts w:ascii="Times New Roman" w:hAnsi="Times New Roman" w:cs="Times New Roman"/>
          <w:sz w:val="27"/>
          <w:szCs w:val="27"/>
          <w:lang w:val="en-US"/>
        </w:rPr>
        <w:t>cost</w:t>
      </w:r>
      <w:r w:rsidR="00AC24F5" w:rsidRPr="003F6E95">
        <w:rPr>
          <w:rStyle w:val="a9"/>
          <w:rFonts w:ascii="Times New Roman" w:hAnsi="Times New Roman" w:cs="Times New Roman"/>
          <w:sz w:val="27"/>
          <w:szCs w:val="27"/>
          <w:lang w:val="en-US"/>
        </w:rPr>
        <w:footnoteReference w:id="4"/>
      </w:r>
      <w:r w:rsidR="001E0693" w:rsidRPr="003F6E95">
        <w:rPr>
          <w:rFonts w:ascii="Times New Roman" w:hAnsi="Times New Roman" w:cs="Times New Roman"/>
          <w:sz w:val="27"/>
          <w:szCs w:val="27"/>
        </w:rPr>
        <w:t xml:space="preserve">) в условиях ухудшения финансово-экономического </w:t>
      </w:r>
      <w:r w:rsidR="00AC24F5" w:rsidRPr="003F6E95">
        <w:rPr>
          <w:rFonts w:ascii="Times New Roman" w:hAnsi="Times New Roman" w:cs="Times New Roman"/>
          <w:sz w:val="27"/>
          <w:szCs w:val="27"/>
        </w:rPr>
        <w:t>состояния в стране.</w:t>
      </w:r>
    </w:p>
    <w:p w:rsidR="003F6E95" w:rsidRPr="003F6E95" w:rsidRDefault="003F6E95" w:rsidP="003F6E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9722A" w:rsidRDefault="007510E3" w:rsidP="00CE4D89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6267450" cy="2905125"/>
            <wp:effectExtent l="0" t="0" r="190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3061E" w:rsidRDefault="00D3061E" w:rsidP="00D3061E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D3061E">
        <w:rPr>
          <w:rFonts w:ascii="Times New Roman" w:hAnsi="Times New Roman" w:cs="Times New Roman"/>
          <w:sz w:val="20"/>
          <w:szCs w:val="20"/>
        </w:rPr>
        <w:t xml:space="preserve">Рис. 4: динамика показателя </w:t>
      </w:r>
      <w:proofErr w:type="spellStart"/>
      <w:r w:rsidRPr="00D3061E">
        <w:rPr>
          <w:rFonts w:ascii="Times New Roman" w:hAnsi="Times New Roman" w:cs="Times New Roman"/>
          <w:sz w:val="20"/>
          <w:szCs w:val="20"/>
        </w:rPr>
        <w:t>дюрации</w:t>
      </w:r>
      <w:proofErr w:type="spellEnd"/>
      <w:r w:rsidRPr="00D3061E">
        <w:rPr>
          <w:rFonts w:ascii="Times New Roman" w:hAnsi="Times New Roman" w:cs="Times New Roman"/>
          <w:sz w:val="20"/>
          <w:szCs w:val="20"/>
        </w:rPr>
        <w:t xml:space="preserve"> и стоимости ликвидности.</w:t>
      </w:r>
    </w:p>
    <w:p w:rsidR="003F6E95" w:rsidRPr="00D3061E" w:rsidRDefault="003F6E95" w:rsidP="00D3061E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7510E3" w:rsidRPr="003F6E95" w:rsidRDefault="007510E3" w:rsidP="003F6E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F6E95">
        <w:rPr>
          <w:rFonts w:ascii="Times New Roman" w:hAnsi="Times New Roman" w:cs="Times New Roman"/>
          <w:sz w:val="27"/>
          <w:szCs w:val="27"/>
        </w:rPr>
        <w:lastRenderedPageBreak/>
        <w:t xml:space="preserve">На </w:t>
      </w:r>
      <w:r w:rsidR="00D3061E" w:rsidRPr="003F6E95">
        <w:rPr>
          <w:rFonts w:ascii="Times New Roman" w:hAnsi="Times New Roman" w:cs="Times New Roman"/>
          <w:sz w:val="27"/>
          <w:szCs w:val="27"/>
        </w:rPr>
        <w:t>рисунке 4</w:t>
      </w:r>
      <w:r w:rsidRPr="003F6E95">
        <w:rPr>
          <w:rFonts w:ascii="Times New Roman" w:hAnsi="Times New Roman" w:cs="Times New Roman"/>
          <w:sz w:val="27"/>
          <w:szCs w:val="27"/>
        </w:rPr>
        <w:t xml:space="preserve"> можно видеть, что, не смотря на уменьшение показателя </w:t>
      </w:r>
      <w:proofErr w:type="spellStart"/>
      <w:r w:rsidRPr="003F6E95">
        <w:rPr>
          <w:rFonts w:ascii="Times New Roman" w:hAnsi="Times New Roman" w:cs="Times New Roman"/>
          <w:sz w:val="27"/>
          <w:szCs w:val="27"/>
        </w:rPr>
        <w:t>дюрации</w:t>
      </w:r>
      <w:proofErr w:type="spellEnd"/>
      <w:r w:rsidRPr="003F6E95">
        <w:rPr>
          <w:rFonts w:ascii="Times New Roman" w:hAnsi="Times New Roman" w:cs="Times New Roman"/>
          <w:sz w:val="27"/>
          <w:szCs w:val="27"/>
        </w:rPr>
        <w:t xml:space="preserve"> портфеля, показатель стоимости ликвидности увеличивается, что свидетельствует об увеличении риска ликвидности модельного портфеля.</w:t>
      </w:r>
    </w:p>
    <w:p w:rsidR="005863B8" w:rsidRDefault="001C1E43" w:rsidP="003F6E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F6E95">
        <w:rPr>
          <w:rFonts w:ascii="Times New Roman" w:hAnsi="Times New Roman" w:cs="Times New Roman"/>
          <w:sz w:val="27"/>
          <w:szCs w:val="27"/>
        </w:rPr>
        <w:t>Рисунок 5 свидетельствует</w:t>
      </w:r>
      <w:r w:rsidR="005863B8" w:rsidRPr="003F6E95">
        <w:rPr>
          <w:rFonts w:ascii="Times New Roman" w:hAnsi="Times New Roman" w:cs="Times New Roman"/>
          <w:sz w:val="27"/>
          <w:szCs w:val="27"/>
        </w:rPr>
        <w:t>, что показатель стоимости риска (</w:t>
      </w:r>
      <w:r w:rsidR="005863B8" w:rsidRPr="003F6E95">
        <w:rPr>
          <w:rFonts w:ascii="Times New Roman" w:hAnsi="Times New Roman" w:cs="Times New Roman"/>
          <w:sz w:val="27"/>
          <w:szCs w:val="27"/>
          <w:lang w:val="en-US"/>
        </w:rPr>
        <w:t>Value</w:t>
      </w:r>
      <w:r w:rsidR="005863B8" w:rsidRPr="003F6E95">
        <w:rPr>
          <w:rFonts w:ascii="Times New Roman" w:hAnsi="Times New Roman" w:cs="Times New Roman"/>
          <w:sz w:val="27"/>
          <w:szCs w:val="27"/>
        </w:rPr>
        <w:t xml:space="preserve"> </w:t>
      </w:r>
      <w:r w:rsidR="005863B8" w:rsidRPr="003F6E95">
        <w:rPr>
          <w:rFonts w:ascii="Times New Roman" w:hAnsi="Times New Roman" w:cs="Times New Roman"/>
          <w:sz w:val="27"/>
          <w:szCs w:val="27"/>
          <w:lang w:val="en-US"/>
        </w:rPr>
        <w:t>at</w:t>
      </w:r>
      <w:r w:rsidR="005863B8" w:rsidRPr="003F6E95">
        <w:rPr>
          <w:rFonts w:ascii="Times New Roman" w:hAnsi="Times New Roman" w:cs="Times New Roman"/>
          <w:sz w:val="27"/>
          <w:szCs w:val="27"/>
        </w:rPr>
        <w:t xml:space="preserve"> </w:t>
      </w:r>
      <w:r w:rsidR="005863B8" w:rsidRPr="003F6E95">
        <w:rPr>
          <w:rFonts w:ascii="Times New Roman" w:hAnsi="Times New Roman" w:cs="Times New Roman"/>
          <w:sz w:val="27"/>
          <w:szCs w:val="27"/>
          <w:lang w:val="en-US"/>
        </w:rPr>
        <w:t>Risk</w:t>
      </w:r>
      <w:r w:rsidR="005863B8" w:rsidRPr="003F6E95">
        <w:rPr>
          <w:rFonts w:ascii="Times New Roman" w:hAnsi="Times New Roman" w:cs="Times New Roman"/>
          <w:sz w:val="27"/>
          <w:szCs w:val="27"/>
        </w:rPr>
        <w:t>) растет в условиях роста процентных ставок</w:t>
      </w:r>
      <w:r w:rsidR="00F665C8" w:rsidRPr="003F6E95">
        <w:rPr>
          <w:rFonts w:ascii="Times New Roman" w:hAnsi="Times New Roman" w:cs="Times New Roman"/>
          <w:sz w:val="27"/>
          <w:szCs w:val="27"/>
        </w:rPr>
        <w:t xml:space="preserve"> (на </w:t>
      </w:r>
      <w:r w:rsidR="00D3061E" w:rsidRPr="003F6E95">
        <w:rPr>
          <w:rFonts w:ascii="Times New Roman" w:hAnsi="Times New Roman" w:cs="Times New Roman"/>
          <w:sz w:val="27"/>
          <w:szCs w:val="27"/>
        </w:rPr>
        <w:t>рисунке</w:t>
      </w:r>
      <w:r w:rsidR="00F665C8" w:rsidRPr="003F6E95">
        <w:rPr>
          <w:rFonts w:ascii="Times New Roman" w:hAnsi="Times New Roman" w:cs="Times New Roman"/>
          <w:sz w:val="27"/>
          <w:szCs w:val="27"/>
        </w:rPr>
        <w:t xml:space="preserve"> </w:t>
      </w:r>
      <w:r w:rsidR="00F665C8" w:rsidRPr="003F6E95">
        <w:rPr>
          <w:rFonts w:ascii="Times New Roman" w:hAnsi="Times New Roman" w:cs="Times New Roman"/>
          <w:sz w:val="27"/>
          <w:szCs w:val="27"/>
          <w:lang w:val="en-US"/>
        </w:rPr>
        <w:t>MIACR</w:t>
      </w:r>
      <w:r w:rsidR="00F665C8" w:rsidRPr="003F6E95">
        <w:rPr>
          <w:rFonts w:ascii="Times New Roman" w:hAnsi="Times New Roman" w:cs="Times New Roman"/>
          <w:sz w:val="27"/>
          <w:szCs w:val="27"/>
        </w:rPr>
        <w:t xml:space="preserve"> - </w:t>
      </w:r>
      <w:proofErr w:type="spellStart"/>
      <w:r w:rsidR="00F665C8" w:rsidRPr="003F6E95">
        <w:rPr>
          <w:rFonts w:ascii="Times New Roman" w:hAnsi="Times New Roman" w:cs="Times New Roman"/>
          <w:sz w:val="27"/>
          <w:szCs w:val="27"/>
        </w:rPr>
        <w:t>Moscow</w:t>
      </w:r>
      <w:proofErr w:type="spellEnd"/>
      <w:r w:rsidR="00F665C8" w:rsidRPr="003F6E9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F665C8" w:rsidRPr="003F6E95">
        <w:rPr>
          <w:rFonts w:ascii="Times New Roman" w:hAnsi="Times New Roman" w:cs="Times New Roman"/>
          <w:sz w:val="27"/>
          <w:szCs w:val="27"/>
        </w:rPr>
        <w:t>InterBank</w:t>
      </w:r>
      <w:proofErr w:type="spellEnd"/>
      <w:r w:rsidR="00F665C8" w:rsidRPr="003F6E9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F665C8" w:rsidRPr="003F6E95">
        <w:rPr>
          <w:rFonts w:ascii="Times New Roman" w:hAnsi="Times New Roman" w:cs="Times New Roman"/>
          <w:sz w:val="27"/>
          <w:szCs w:val="27"/>
        </w:rPr>
        <w:t>Actual</w:t>
      </w:r>
      <w:proofErr w:type="spellEnd"/>
      <w:r w:rsidR="00F665C8" w:rsidRPr="003F6E9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F665C8" w:rsidRPr="003F6E95">
        <w:rPr>
          <w:rFonts w:ascii="Times New Roman" w:hAnsi="Times New Roman" w:cs="Times New Roman"/>
          <w:sz w:val="27"/>
          <w:szCs w:val="27"/>
        </w:rPr>
        <w:t>Credit</w:t>
      </w:r>
      <w:proofErr w:type="spellEnd"/>
      <w:r w:rsidR="00F665C8" w:rsidRPr="003F6E9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F665C8" w:rsidRPr="003F6E95">
        <w:rPr>
          <w:rFonts w:ascii="Times New Roman" w:hAnsi="Times New Roman" w:cs="Times New Roman"/>
          <w:sz w:val="27"/>
          <w:szCs w:val="27"/>
        </w:rPr>
        <w:t>Rate</w:t>
      </w:r>
      <w:proofErr w:type="spellEnd"/>
      <w:r w:rsidR="00F665C8" w:rsidRPr="003F6E95">
        <w:rPr>
          <w:rFonts w:ascii="Times New Roman" w:hAnsi="Times New Roman" w:cs="Times New Roman"/>
          <w:sz w:val="27"/>
          <w:szCs w:val="27"/>
        </w:rPr>
        <w:t>).</w:t>
      </w:r>
    </w:p>
    <w:p w:rsidR="003F6E95" w:rsidRPr="003F6E95" w:rsidRDefault="003F6E95" w:rsidP="003F6E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F665C8" w:rsidRDefault="000E3ADF" w:rsidP="00486045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6200775" cy="26479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3061E" w:rsidRDefault="00D3061E" w:rsidP="00727CB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727CB8">
        <w:rPr>
          <w:rFonts w:ascii="Times New Roman" w:hAnsi="Times New Roman" w:cs="Times New Roman"/>
          <w:sz w:val="20"/>
          <w:szCs w:val="20"/>
        </w:rPr>
        <w:t>Рис. 5: динамика показателя VAR (ось ординат слева) и процентных ставок MIACR (ось ординат справа)</w:t>
      </w:r>
      <w:r w:rsidR="00727CB8">
        <w:rPr>
          <w:rFonts w:ascii="Times New Roman" w:hAnsi="Times New Roman" w:cs="Times New Roman"/>
          <w:sz w:val="20"/>
          <w:szCs w:val="20"/>
        </w:rPr>
        <w:t>.</w:t>
      </w:r>
    </w:p>
    <w:p w:rsidR="003F6E95" w:rsidRPr="00727CB8" w:rsidRDefault="003F6E95" w:rsidP="00727CB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0E3ADF" w:rsidRDefault="001C1E43" w:rsidP="003F6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6E95">
        <w:rPr>
          <w:rFonts w:ascii="Times New Roman" w:hAnsi="Times New Roman" w:cs="Times New Roman"/>
          <w:sz w:val="27"/>
          <w:szCs w:val="27"/>
        </w:rPr>
        <w:t>Из рисунка видно</w:t>
      </w:r>
      <w:r w:rsidR="000E3ADF" w:rsidRPr="003F6E95">
        <w:rPr>
          <w:rFonts w:ascii="Times New Roman" w:hAnsi="Times New Roman" w:cs="Times New Roman"/>
          <w:sz w:val="27"/>
          <w:szCs w:val="27"/>
        </w:rPr>
        <w:t xml:space="preserve">, что </w:t>
      </w:r>
      <w:r w:rsidR="000E3ADF" w:rsidRPr="003F6E95">
        <w:rPr>
          <w:rFonts w:ascii="Times New Roman" w:hAnsi="Times New Roman" w:cs="Times New Roman"/>
          <w:sz w:val="27"/>
          <w:szCs w:val="27"/>
          <w:lang w:val="en-US"/>
        </w:rPr>
        <w:t>VAR</w:t>
      </w:r>
      <w:r w:rsidR="00A0308A" w:rsidRPr="003F6E95">
        <w:rPr>
          <w:rStyle w:val="a9"/>
          <w:rFonts w:ascii="Times New Roman" w:hAnsi="Times New Roman" w:cs="Times New Roman"/>
          <w:sz w:val="27"/>
          <w:szCs w:val="27"/>
          <w:lang w:val="en-US"/>
        </w:rPr>
        <w:footnoteReference w:id="5"/>
      </w:r>
      <w:r w:rsidR="000E3ADF" w:rsidRPr="003F6E95">
        <w:rPr>
          <w:rFonts w:ascii="Times New Roman" w:hAnsi="Times New Roman" w:cs="Times New Roman"/>
          <w:sz w:val="27"/>
          <w:szCs w:val="27"/>
        </w:rPr>
        <w:t xml:space="preserve"> для </w:t>
      </w:r>
      <w:r w:rsidR="00A0308A" w:rsidRPr="003F6E95">
        <w:rPr>
          <w:rFonts w:ascii="Times New Roman" w:hAnsi="Times New Roman" w:cs="Times New Roman"/>
          <w:sz w:val="27"/>
          <w:szCs w:val="27"/>
        </w:rPr>
        <w:t xml:space="preserve">модельного портфеля </w:t>
      </w:r>
      <w:r w:rsidR="000E3ADF" w:rsidRPr="003F6E95">
        <w:rPr>
          <w:rFonts w:ascii="Times New Roman" w:hAnsi="Times New Roman" w:cs="Times New Roman"/>
          <w:sz w:val="27"/>
          <w:szCs w:val="27"/>
        </w:rPr>
        <w:t>облигаций</w:t>
      </w:r>
      <w:r w:rsidR="00A0308A" w:rsidRPr="003F6E95">
        <w:rPr>
          <w:rFonts w:ascii="Times New Roman" w:hAnsi="Times New Roman" w:cs="Times New Roman"/>
          <w:sz w:val="27"/>
          <w:szCs w:val="27"/>
        </w:rPr>
        <w:t>, на дату обновления списка облигаций</w:t>
      </w:r>
      <w:r w:rsidR="000E3ADF" w:rsidRPr="003F6E9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E3ADF" w:rsidRPr="003F6E95">
        <w:rPr>
          <w:rFonts w:ascii="Times New Roman" w:hAnsi="Times New Roman" w:cs="Times New Roman"/>
          <w:sz w:val="27"/>
          <w:szCs w:val="27"/>
        </w:rPr>
        <w:t>субиндекса</w:t>
      </w:r>
      <w:proofErr w:type="spellEnd"/>
      <w:r w:rsidR="000E3ADF" w:rsidRPr="003F6E95">
        <w:rPr>
          <w:rFonts w:ascii="Times New Roman" w:hAnsi="Times New Roman" w:cs="Times New Roman"/>
          <w:sz w:val="27"/>
          <w:szCs w:val="27"/>
        </w:rPr>
        <w:t xml:space="preserve"> облигаций</w:t>
      </w:r>
      <w:r w:rsidR="00A0308A" w:rsidRPr="003F6E95">
        <w:rPr>
          <w:rFonts w:ascii="Times New Roman" w:hAnsi="Times New Roman" w:cs="Times New Roman"/>
          <w:sz w:val="27"/>
          <w:szCs w:val="27"/>
        </w:rPr>
        <w:t xml:space="preserve"> пенсионных накоплений</w:t>
      </w:r>
      <w:r w:rsidR="000E3ADF" w:rsidRPr="003F6E95">
        <w:rPr>
          <w:rFonts w:ascii="Times New Roman" w:hAnsi="Times New Roman" w:cs="Times New Roman"/>
          <w:sz w:val="27"/>
          <w:szCs w:val="27"/>
        </w:rPr>
        <w:t xml:space="preserve"> </w:t>
      </w:r>
      <w:r w:rsidR="00A0308A" w:rsidRPr="003F6E95">
        <w:rPr>
          <w:rFonts w:ascii="Times New Roman" w:hAnsi="Times New Roman" w:cs="Times New Roman"/>
          <w:sz w:val="27"/>
          <w:szCs w:val="27"/>
        </w:rPr>
        <w:t>(</w:t>
      </w:r>
      <w:r w:rsidR="000E3ADF" w:rsidRPr="003F6E95">
        <w:rPr>
          <w:rFonts w:ascii="Times New Roman" w:hAnsi="Times New Roman" w:cs="Times New Roman"/>
          <w:sz w:val="27"/>
          <w:szCs w:val="27"/>
        </w:rPr>
        <w:t>на 17.30.2015 года</w:t>
      </w:r>
      <w:r w:rsidR="00A0308A" w:rsidRPr="003F6E95">
        <w:rPr>
          <w:rFonts w:ascii="Times New Roman" w:hAnsi="Times New Roman" w:cs="Times New Roman"/>
          <w:sz w:val="27"/>
          <w:szCs w:val="27"/>
        </w:rPr>
        <w:t>)</w:t>
      </w:r>
      <w:r w:rsidR="000E3ADF" w:rsidRPr="003F6E95">
        <w:rPr>
          <w:rFonts w:ascii="Times New Roman" w:hAnsi="Times New Roman" w:cs="Times New Roman"/>
          <w:sz w:val="27"/>
          <w:szCs w:val="27"/>
        </w:rPr>
        <w:t xml:space="preserve"> составлял более 40% портфеля</w:t>
      </w:r>
      <w:r w:rsidR="00A0308A" w:rsidRPr="003F6E95">
        <w:rPr>
          <w:rFonts w:ascii="Times New Roman" w:hAnsi="Times New Roman" w:cs="Times New Roman"/>
          <w:sz w:val="27"/>
          <w:szCs w:val="27"/>
        </w:rPr>
        <w:t>.</w:t>
      </w:r>
      <w:r w:rsidR="000E3ADF" w:rsidRPr="003F6E9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F6E95" w:rsidRPr="003F6E95" w:rsidRDefault="003F6E95" w:rsidP="003F6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0768C" w:rsidRDefault="004754FF" w:rsidP="003F6E9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3F6E95">
        <w:rPr>
          <w:rFonts w:ascii="Times New Roman" w:hAnsi="Times New Roman" w:cs="Times New Roman"/>
          <w:i/>
          <w:sz w:val="27"/>
          <w:szCs w:val="27"/>
        </w:rPr>
        <w:t>Депозиты кредитных организаций.</w:t>
      </w:r>
    </w:p>
    <w:p w:rsidR="003F6E95" w:rsidRPr="003F6E95" w:rsidRDefault="003F6E95" w:rsidP="003F6E9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9C3497" w:rsidRPr="003F6E95" w:rsidRDefault="004754FF" w:rsidP="003F6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6E95">
        <w:rPr>
          <w:rFonts w:ascii="Times New Roman" w:hAnsi="Times New Roman" w:cs="Times New Roman"/>
          <w:sz w:val="27"/>
          <w:szCs w:val="27"/>
        </w:rPr>
        <w:t>Размещение сре</w:t>
      </w:r>
      <w:proofErr w:type="gramStart"/>
      <w:r w:rsidRPr="003F6E95">
        <w:rPr>
          <w:rFonts w:ascii="Times New Roman" w:hAnsi="Times New Roman" w:cs="Times New Roman"/>
          <w:sz w:val="27"/>
          <w:szCs w:val="27"/>
        </w:rPr>
        <w:t>дств в д</w:t>
      </w:r>
      <w:proofErr w:type="gramEnd"/>
      <w:r w:rsidRPr="003F6E95">
        <w:rPr>
          <w:rFonts w:ascii="Times New Roman" w:hAnsi="Times New Roman" w:cs="Times New Roman"/>
          <w:sz w:val="27"/>
          <w:szCs w:val="27"/>
        </w:rPr>
        <w:t>епозиты кредитных организаций имеет ряд преимуществ перед размещением в ценные бумаги. К таким преимуществам можно отнести отсутствие прямой подверженности фондовым и процентным рискам</w:t>
      </w:r>
      <w:r w:rsidR="005356F9" w:rsidRPr="003F6E95">
        <w:rPr>
          <w:rFonts w:ascii="Times New Roman" w:hAnsi="Times New Roman" w:cs="Times New Roman"/>
          <w:sz w:val="27"/>
          <w:szCs w:val="27"/>
        </w:rPr>
        <w:t>, поскольку с</w:t>
      </w:r>
      <w:r w:rsidR="00011257" w:rsidRPr="003F6E95">
        <w:rPr>
          <w:rFonts w:ascii="Times New Roman" w:hAnsi="Times New Roman" w:cs="Times New Roman"/>
          <w:sz w:val="27"/>
          <w:szCs w:val="27"/>
        </w:rPr>
        <w:t xml:space="preserve">тоимость депозитных вложений, как активов, не изменяется </w:t>
      </w:r>
      <w:r w:rsidR="007C7C7F" w:rsidRPr="003F6E95">
        <w:rPr>
          <w:rFonts w:ascii="Times New Roman" w:hAnsi="Times New Roman" w:cs="Times New Roman"/>
          <w:sz w:val="27"/>
          <w:szCs w:val="27"/>
        </w:rPr>
        <w:t>в условиях колебаний процентных ставок и фондовых индексов</w:t>
      </w:r>
      <w:r w:rsidR="00011257" w:rsidRPr="003F6E95">
        <w:rPr>
          <w:rFonts w:ascii="Times New Roman" w:hAnsi="Times New Roman" w:cs="Times New Roman"/>
          <w:sz w:val="27"/>
          <w:szCs w:val="27"/>
        </w:rPr>
        <w:t xml:space="preserve">. </w:t>
      </w:r>
      <w:r w:rsidR="007C7C7F" w:rsidRPr="003F6E95">
        <w:rPr>
          <w:rFonts w:ascii="Times New Roman" w:hAnsi="Times New Roman" w:cs="Times New Roman"/>
          <w:sz w:val="27"/>
          <w:szCs w:val="27"/>
        </w:rPr>
        <w:t xml:space="preserve">Фонды получают </w:t>
      </w:r>
      <w:r w:rsidR="005356F9" w:rsidRPr="003F6E95">
        <w:rPr>
          <w:rFonts w:ascii="Times New Roman" w:hAnsi="Times New Roman" w:cs="Times New Roman"/>
          <w:sz w:val="27"/>
          <w:szCs w:val="27"/>
        </w:rPr>
        <w:t xml:space="preserve">прогнозируемый </w:t>
      </w:r>
      <w:r w:rsidR="007C7C7F" w:rsidRPr="003F6E95">
        <w:rPr>
          <w:rFonts w:ascii="Times New Roman" w:hAnsi="Times New Roman" w:cs="Times New Roman"/>
          <w:sz w:val="27"/>
          <w:szCs w:val="27"/>
        </w:rPr>
        <w:t>доход в виде накопленн</w:t>
      </w:r>
      <w:r w:rsidR="005356F9" w:rsidRPr="003F6E95">
        <w:rPr>
          <w:rFonts w:ascii="Times New Roman" w:hAnsi="Times New Roman" w:cs="Times New Roman"/>
          <w:sz w:val="27"/>
          <w:szCs w:val="27"/>
        </w:rPr>
        <w:t>ых</w:t>
      </w:r>
      <w:r w:rsidR="007C7C7F" w:rsidRPr="003F6E95">
        <w:rPr>
          <w:rFonts w:ascii="Times New Roman" w:hAnsi="Times New Roman" w:cs="Times New Roman"/>
          <w:sz w:val="27"/>
          <w:szCs w:val="27"/>
        </w:rPr>
        <w:t xml:space="preserve"> процент</w:t>
      </w:r>
      <w:r w:rsidR="005356F9" w:rsidRPr="003F6E95">
        <w:rPr>
          <w:rFonts w:ascii="Times New Roman" w:hAnsi="Times New Roman" w:cs="Times New Roman"/>
          <w:sz w:val="27"/>
          <w:szCs w:val="27"/>
        </w:rPr>
        <w:t xml:space="preserve">ов и номинал после окончания </w:t>
      </w:r>
      <w:r w:rsidR="005356F9" w:rsidRPr="003F6E95">
        <w:rPr>
          <w:rFonts w:ascii="Times New Roman" w:hAnsi="Times New Roman" w:cs="Times New Roman"/>
          <w:sz w:val="27"/>
          <w:szCs w:val="27"/>
        </w:rPr>
        <w:lastRenderedPageBreak/>
        <w:t>срока депозита</w:t>
      </w:r>
      <w:r w:rsidR="00081209" w:rsidRPr="003F6E95">
        <w:rPr>
          <w:rFonts w:ascii="Times New Roman" w:hAnsi="Times New Roman" w:cs="Times New Roman"/>
          <w:sz w:val="27"/>
          <w:szCs w:val="27"/>
        </w:rPr>
        <w:t>.</w:t>
      </w:r>
      <w:r w:rsidR="005356F9" w:rsidRPr="003F6E95">
        <w:rPr>
          <w:rFonts w:ascii="Times New Roman" w:hAnsi="Times New Roman" w:cs="Times New Roman"/>
          <w:sz w:val="27"/>
          <w:szCs w:val="27"/>
        </w:rPr>
        <w:t xml:space="preserve"> </w:t>
      </w:r>
      <w:r w:rsidR="00081209" w:rsidRPr="003F6E95">
        <w:rPr>
          <w:rFonts w:ascii="Times New Roman" w:hAnsi="Times New Roman" w:cs="Times New Roman"/>
          <w:sz w:val="27"/>
          <w:szCs w:val="27"/>
        </w:rPr>
        <w:t>П</w:t>
      </w:r>
      <w:r w:rsidR="005356F9" w:rsidRPr="003F6E95">
        <w:rPr>
          <w:rFonts w:ascii="Times New Roman" w:hAnsi="Times New Roman" w:cs="Times New Roman"/>
          <w:sz w:val="27"/>
          <w:szCs w:val="27"/>
        </w:rPr>
        <w:t>ереоценк</w:t>
      </w:r>
      <w:r w:rsidR="00081209" w:rsidRPr="003F6E95">
        <w:rPr>
          <w:rFonts w:ascii="Times New Roman" w:hAnsi="Times New Roman" w:cs="Times New Roman"/>
          <w:sz w:val="27"/>
          <w:szCs w:val="27"/>
        </w:rPr>
        <w:t>а</w:t>
      </w:r>
      <w:r w:rsidR="005356F9" w:rsidRPr="003F6E95">
        <w:rPr>
          <w:rFonts w:ascii="Times New Roman" w:hAnsi="Times New Roman" w:cs="Times New Roman"/>
          <w:sz w:val="27"/>
          <w:szCs w:val="27"/>
        </w:rPr>
        <w:t xml:space="preserve"> </w:t>
      </w:r>
      <w:r w:rsidR="009C3497" w:rsidRPr="003F6E95">
        <w:rPr>
          <w:rFonts w:ascii="Times New Roman" w:hAnsi="Times New Roman" w:cs="Times New Roman"/>
          <w:sz w:val="27"/>
          <w:szCs w:val="27"/>
        </w:rPr>
        <w:t>тела депозита</w:t>
      </w:r>
      <w:r w:rsidR="00081209" w:rsidRPr="003F6E95">
        <w:rPr>
          <w:rFonts w:ascii="Times New Roman" w:hAnsi="Times New Roman" w:cs="Times New Roman"/>
          <w:sz w:val="27"/>
          <w:szCs w:val="27"/>
        </w:rPr>
        <w:t>, с учетом кредитных и рыночных рисков не осуществляется</w:t>
      </w:r>
      <w:r w:rsidR="009C3497" w:rsidRPr="003F6E95">
        <w:rPr>
          <w:rFonts w:ascii="Times New Roman" w:hAnsi="Times New Roman" w:cs="Times New Roman"/>
          <w:sz w:val="27"/>
          <w:szCs w:val="27"/>
        </w:rPr>
        <w:t xml:space="preserve"> в течени</w:t>
      </w:r>
      <w:r w:rsidR="00081209" w:rsidRPr="003F6E95">
        <w:rPr>
          <w:rFonts w:ascii="Times New Roman" w:hAnsi="Times New Roman" w:cs="Times New Roman"/>
          <w:sz w:val="27"/>
          <w:szCs w:val="27"/>
        </w:rPr>
        <w:t>е</w:t>
      </w:r>
      <w:r w:rsidR="009C3497" w:rsidRPr="003F6E95">
        <w:rPr>
          <w:rFonts w:ascii="Times New Roman" w:hAnsi="Times New Roman" w:cs="Times New Roman"/>
          <w:sz w:val="27"/>
          <w:szCs w:val="27"/>
        </w:rPr>
        <w:t xml:space="preserve"> всего срока депозита</w:t>
      </w:r>
      <w:r w:rsidR="005356F9" w:rsidRPr="003F6E95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5356F9" w:rsidRPr="003F6E95" w:rsidRDefault="00387493" w:rsidP="003F6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6E95">
        <w:rPr>
          <w:rFonts w:ascii="Times New Roman" w:hAnsi="Times New Roman" w:cs="Times New Roman"/>
          <w:sz w:val="27"/>
          <w:szCs w:val="27"/>
        </w:rPr>
        <w:t>Учитывая преимущества размещения в депозиты, можно было бы считать такой актив «тихой гаванью» в условиях экономического кризиса, однако у депозитов есть ряд недостатков, которые становятся особенно существенными во время кризиса.</w:t>
      </w:r>
      <w:r w:rsidR="009C3497" w:rsidRPr="003F6E9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B0C90" w:rsidRPr="003F6E95" w:rsidRDefault="00387493" w:rsidP="003F6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6E95">
        <w:rPr>
          <w:rFonts w:ascii="Times New Roman" w:hAnsi="Times New Roman" w:cs="Times New Roman"/>
          <w:sz w:val="27"/>
          <w:szCs w:val="27"/>
        </w:rPr>
        <w:t xml:space="preserve">Основным риском депозитных вложений является кредитный риск. </w:t>
      </w:r>
      <w:r w:rsidR="0049722A" w:rsidRPr="003F6E95">
        <w:rPr>
          <w:rFonts w:ascii="Times New Roman" w:hAnsi="Times New Roman" w:cs="Times New Roman"/>
          <w:sz w:val="27"/>
          <w:szCs w:val="27"/>
        </w:rPr>
        <w:t xml:space="preserve">Оценка кредитного риска представляется затруднительной не только в условиях кризиса, но и в </w:t>
      </w:r>
      <w:r w:rsidR="008D0042" w:rsidRPr="003F6E95">
        <w:rPr>
          <w:rFonts w:ascii="Times New Roman" w:hAnsi="Times New Roman" w:cs="Times New Roman"/>
          <w:sz w:val="27"/>
          <w:szCs w:val="27"/>
        </w:rPr>
        <w:t xml:space="preserve">периоды </w:t>
      </w:r>
      <w:r w:rsidR="0049722A" w:rsidRPr="003F6E95">
        <w:rPr>
          <w:rFonts w:ascii="Times New Roman" w:hAnsi="Times New Roman" w:cs="Times New Roman"/>
          <w:sz w:val="27"/>
          <w:szCs w:val="27"/>
        </w:rPr>
        <w:t>«нормальн</w:t>
      </w:r>
      <w:r w:rsidR="008D0042" w:rsidRPr="003F6E95">
        <w:rPr>
          <w:rFonts w:ascii="Times New Roman" w:hAnsi="Times New Roman" w:cs="Times New Roman"/>
          <w:sz w:val="27"/>
          <w:szCs w:val="27"/>
        </w:rPr>
        <w:t>ого»</w:t>
      </w:r>
      <w:r w:rsidR="0049722A" w:rsidRPr="003F6E95">
        <w:rPr>
          <w:rFonts w:ascii="Times New Roman" w:hAnsi="Times New Roman" w:cs="Times New Roman"/>
          <w:sz w:val="27"/>
          <w:szCs w:val="27"/>
        </w:rPr>
        <w:t xml:space="preserve"> </w:t>
      </w:r>
      <w:r w:rsidR="008D0042" w:rsidRPr="003F6E95">
        <w:rPr>
          <w:rFonts w:ascii="Times New Roman" w:hAnsi="Times New Roman" w:cs="Times New Roman"/>
          <w:sz w:val="27"/>
          <w:szCs w:val="27"/>
        </w:rPr>
        <w:t>состояния</w:t>
      </w:r>
      <w:r w:rsidR="0049722A" w:rsidRPr="003F6E95">
        <w:rPr>
          <w:rFonts w:ascii="Times New Roman" w:hAnsi="Times New Roman" w:cs="Times New Roman"/>
          <w:sz w:val="27"/>
          <w:szCs w:val="27"/>
        </w:rPr>
        <w:t xml:space="preserve"> </w:t>
      </w:r>
      <w:r w:rsidR="008D0042" w:rsidRPr="003F6E95">
        <w:rPr>
          <w:rFonts w:ascii="Times New Roman" w:hAnsi="Times New Roman" w:cs="Times New Roman"/>
          <w:sz w:val="27"/>
          <w:szCs w:val="27"/>
        </w:rPr>
        <w:t>экономики и рыночной конъюнктуры</w:t>
      </w:r>
      <w:r w:rsidR="0049722A" w:rsidRPr="003F6E95">
        <w:rPr>
          <w:rFonts w:ascii="Times New Roman" w:hAnsi="Times New Roman" w:cs="Times New Roman"/>
          <w:sz w:val="27"/>
          <w:szCs w:val="27"/>
        </w:rPr>
        <w:t>.</w:t>
      </w:r>
      <w:r w:rsidR="001000BF" w:rsidRPr="003F6E95">
        <w:rPr>
          <w:rFonts w:ascii="Times New Roman" w:hAnsi="Times New Roman" w:cs="Times New Roman"/>
          <w:sz w:val="27"/>
          <w:szCs w:val="27"/>
        </w:rPr>
        <w:t xml:space="preserve"> </w:t>
      </w:r>
      <w:r w:rsidR="008D0042" w:rsidRPr="003F6E95">
        <w:rPr>
          <w:rFonts w:ascii="Times New Roman" w:hAnsi="Times New Roman" w:cs="Times New Roman"/>
          <w:sz w:val="27"/>
          <w:szCs w:val="27"/>
        </w:rPr>
        <w:t>Модели оценки кредитного риска, основанные на кредитных рейтингах рейтинговых аген</w:t>
      </w:r>
      <w:r w:rsidR="00D72F25" w:rsidRPr="003F6E95">
        <w:rPr>
          <w:rFonts w:ascii="Times New Roman" w:hAnsi="Times New Roman" w:cs="Times New Roman"/>
          <w:sz w:val="27"/>
          <w:szCs w:val="27"/>
        </w:rPr>
        <w:t>т</w:t>
      </w:r>
      <w:r w:rsidR="008D0042" w:rsidRPr="003F6E95">
        <w:rPr>
          <w:rFonts w:ascii="Times New Roman" w:hAnsi="Times New Roman" w:cs="Times New Roman"/>
          <w:sz w:val="27"/>
          <w:szCs w:val="27"/>
        </w:rPr>
        <w:t>ств, будут существенно заниж</w:t>
      </w:r>
      <w:r w:rsidR="00D72F25" w:rsidRPr="003F6E95">
        <w:rPr>
          <w:rFonts w:ascii="Times New Roman" w:hAnsi="Times New Roman" w:cs="Times New Roman"/>
          <w:sz w:val="27"/>
          <w:szCs w:val="27"/>
        </w:rPr>
        <w:t>ены</w:t>
      </w:r>
      <w:r w:rsidR="000B658B" w:rsidRPr="003F6E95">
        <w:rPr>
          <w:rFonts w:ascii="Times New Roman" w:hAnsi="Times New Roman" w:cs="Times New Roman"/>
          <w:sz w:val="27"/>
          <w:szCs w:val="27"/>
        </w:rPr>
        <w:t xml:space="preserve"> в условиях кризиса</w:t>
      </w:r>
      <w:r w:rsidR="008D0042" w:rsidRPr="003F6E95">
        <w:rPr>
          <w:rFonts w:ascii="Times New Roman" w:hAnsi="Times New Roman" w:cs="Times New Roman"/>
          <w:sz w:val="27"/>
          <w:szCs w:val="27"/>
        </w:rPr>
        <w:t xml:space="preserve">, поскольку </w:t>
      </w:r>
      <w:r w:rsidR="00D72F25" w:rsidRPr="003F6E95">
        <w:rPr>
          <w:rFonts w:ascii="Times New Roman" w:hAnsi="Times New Roman" w:cs="Times New Roman"/>
          <w:sz w:val="27"/>
          <w:szCs w:val="27"/>
        </w:rPr>
        <w:t xml:space="preserve">рейтинговые агентства при </w:t>
      </w:r>
      <w:r w:rsidR="008A6146" w:rsidRPr="003F6E95">
        <w:rPr>
          <w:rFonts w:ascii="Times New Roman" w:hAnsi="Times New Roman" w:cs="Times New Roman"/>
          <w:sz w:val="27"/>
          <w:szCs w:val="27"/>
        </w:rPr>
        <w:t>формировании</w:t>
      </w:r>
      <w:r w:rsidR="00D72F25" w:rsidRPr="003F6E95">
        <w:rPr>
          <w:rFonts w:ascii="Times New Roman" w:hAnsi="Times New Roman" w:cs="Times New Roman"/>
          <w:sz w:val="27"/>
          <w:szCs w:val="27"/>
        </w:rPr>
        <w:t xml:space="preserve"> рейтинга</w:t>
      </w:r>
      <w:r w:rsidR="00F84632" w:rsidRPr="003F6E95">
        <w:rPr>
          <w:rFonts w:ascii="Times New Roman" w:hAnsi="Times New Roman" w:cs="Times New Roman"/>
          <w:sz w:val="27"/>
          <w:szCs w:val="27"/>
        </w:rPr>
        <w:t xml:space="preserve"> учитыва</w:t>
      </w:r>
      <w:r w:rsidR="008A6146" w:rsidRPr="003F6E95">
        <w:rPr>
          <w:rFonts w:ascii="Times New Roman" w:hAnsi="Times New Roman" w:cs="Times New Roman"/>
          <w:sz w:val="27"/>
          <w:szCs w:val="27"/>
        </w:rPr>
        <w:t>ю</w:t>
      </w:r>
      <w:r w:rsidR="00F84632" w:rsidRPr="003F6E95">
        <w:rPr>
          <w:rFonts w:ascii="Times New Roman" w:hAnsi="Times New Roman" w:cs="Times New Roman"/>
          <w:sz w:val="27"/>
          <w:szCs w:val="27"/>
        </w:rPr>
        <w:t xml:space="preserve">т цикличность в </w:t>
      </w:r>
      <w:proofErr w:type="gramStart"/>
      <w:r w:rsidR="00F84632" w:rsidRPr="003F6E95">
        <w:rPr>
          <w:rFonts w:ascii="Times New Roman" w:hAnsi="Times New Roman" w:cs="Times New Roman"/>
          <w:sz w:val="27"/>
          <w:szCs w:val="27"/>
        </w:rPr>
        <w:t>экономики</w:t>
      </w:r>
      <w:proofErr w:type="gramEnd"/>
      <w:r w:rsidR="00F84632" w:rsidRPr="003F6E95">
        <w:rPr>
          <w:rFonts w:ascii="Times New Roman" w:hAnsi="Times New Roman" w:cs="Times New Roman"/>
          <w:sz w:val="27"/>
          <w:szCs w:val="27"/>
        </w:rPr>
        <w:t xml:space="preserve"> </w:t>
      </w:r>
      <w:r w:rsidR="008A6146" w:rsidRPr="003F6E95">
        <w:rPr>
          <w:rFonts w:ascii="Times New Roman" w:hAnsi="Times New Roman" w:cs="Times New Roman"/>
          <w:sz w:val="27"/>
          <w:szCs w:val="27"/>
        </w:rPr>
        <w:t>на определенном временном горизонте</w:t>
      </w:r>
      <w:r w:rsidR="001000BF" w:rsidRPr="003F6E95">
        <w:rPr>
          <w:rFonts w:ascii="Times New Roman" w:hAnsi="Times New Roman" w:cs="Times New Roman"/>
          <w:sz w:val="27"/>
          <w:szCs w:val="27"/>
        </w:rPr>
        <w:t xml:space="preserve"> усредняя свои оценки</w:t>
      </w:r>
      <w:r w:rsidR="008A6146" w:rsidRPr="003F6E95">
        <w:rPr>
          <w:rFonts w:ascii="Times New Roman" w:hAnsi="Times New Roman" w:cs="Times New Roman"/>
          <w:sz w:val="27"/>
          <w:szCs w:val="27"/>
        </w:rPr>
        <w:t xml:space="preserve"> </w:t>
      </w:r>
      <w:r w:rsidR="00F84632" w:rsidRPr="003F6E95">
        <w:rPr>
          <w:rFonts w:ascii="Times New Roman" w:hAnsi="Times New Roman" w:cs="Times New Roman"/>
          <w:sz w:val="27"/>
          <w:szCs w:val="27"/>
        </w:rPr>
        <w:t>(</w:t>
      </w:r>
      <w:proofErr w:type="spellStart"/>
      <w:r w:rsidR="00F84632" w:rsidRPr="003F6E95">
        <w:rPr>
          <w:rFonts w:ascii="Times New Roman" w:hAnsi="Times New Roman" w:cs="Times New Roman"/>
          <w:sz w:val="27"/>
          <w:szCs w:val="27"/>
        </w:rPr>
        <w:t>through</w:t>
      </w:r>
      <w:proofErr w:type="spellEnd"/>
      <w:r w:rsidR="00F84632" w:rsidRPr="003F6E9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F84632" w:rsidRPr="003F6E95">
        <w:rPr>
          <w:rFonts w:ascii="Times New Roman" w:hAnsi="Times New Roman" w:cs="Times New Roman"/>
          <w:sz w:val="27"/>
          <w:szCs w:val="27"/>
        </w:rPr>
        <w:t>the</w:t>
      </w:r>
      <w:proofErr w:type="spellEnd"/>
      <w:r w:rsidR="00F84632" w:rsidRPr="003F6E9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F84632" w:rsidRPr="003F6E95">
        <w:rPr>
          <w:rFonts w:ascii="Times New Roman" w:hAnsi="Times New Roman" w:cs="Times New Roman"/>
          <w:sz w:val="27"/>
          <w:szCs w:val="27"/>
        </w:rPr>
        <w:t>cycle</w:t>
      </w:r>
      <w:proofErr w:type="spellEnd"/>
      <w:r w:rsidR="00F84632" w:rsidRPr="003F6E9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F84632" w:rsidRPr="003F6E95">
        <w:rPr>
          <w:rFonts w:ascii="Times New Roman" w:hAnsi="Times New Roman" w:cs="Times New Roman"/>
          <w:sz w:val="27"/>
          <w:szCs w:val="27"/>
        </w:rPr>
        <w:t>approach</w:t>
      </w:r>
      <w:proofErr w:type="spellEnd"/>
      <w:r w:rsidR="00F84632" w:rsidRPr="003F6E95">
        <w:rPr>
          <w:rFonts w:ascii="Times New Roman" w:hAnsi="Times New Roman" w:cs="Times New Roman"/>
          <w:sz w:val="27"/>
          <w:szCs w:val="27"/>
        </w:rPr>
        <w:t xml:space="preserve">). </w:t>
      </w:r>
      <w:r w:rsidR="009B0C90" w:rsidRPr="003F6E95">
        <w:rPr>
          <w:rFonts w:ascii="Times New Roman" w:hAnsi="Times New Roman" w:cs="Times New Roman"/>
          <w:sz w:val="27"/>
          <w:szCs w:val="27"/>
        </w:rPr>
        <w:t xml:space="preserve">При построении и </w:t>
      </w:r>
      <w:proofErr w:type="spellStart"/>
      <w:r w:rsidR="009B0C90" w:rsidRPr="003F6E95">
        <w:rPr>
          <w:rFonts w:ascii="Times New Roman" w:hAnsi="Times New Roman" w:cs="Times New Roman"/>
          <w:sz w:val="27"/>
          <w:szCs w:val="27"/>
        </w:rPr>
        <w:t>валидировании</w:t>
      </w:r>
      <w:proofErr w:type="spellEnd"/>
      <w:r w:rsidR="009B0C90" w:rsidRPr="003F6E95">
        <w:rPr>
          <w:rFonts w:ascii="Times New Roman" w:hAnsi="Times New Roman" w:cs="Times New Roman"/>
          <w:sz w:val="27"/>
          <w:szCs w:val="27"/>
        </w:rPr>
        <w:t xml:space="preserve"> собственных моделей оценки кредитного риска</w:t>
      </w:r>
      <w:r w:rsidR="00727CB8" w:rsidRPr="003F6E95">
        <w:rPr>
          <w:rFonts w:ascii="Times New Roman" w:hAnsi="Times New Roman" w:cs="Times New Roman"/>
          <w:sz w:val="27"/>
          <w:szCs w:val="27"/>
        </w:rPr>
        <w:t>,</w:t>
      </w:r>
      <w:r w:rsidR="009B0C90" w:rsidRPr="003F6E95">
        <w:rPr>
          <w:rFonts w:ascii="Times New Roman" w:hAnsi="Times New Roman" w:cs="Times New Roman"/>
          <w:sz w:val="27"/>
          <w:szCs w:val="27"/>
        </w:rPr>
        <w:t xml:space="preserve"> на основе финансовых показателей кредитных организаций</w:t>
      </w:r>
      <w:r w:rsidR="00727CB8" w:rsidRPr="003F6E95">
        <w:rPr>
          <w:rFonts w:ascii="Times New Roman" w:hAnsi="Times New Roman" w:cs="Times New Roman"/>
          <w:sz w:val="27"/>
          <w:szCs w:val="27"/>
        </w:rPr>
        <w:t>,</w:t>
      </w:r>
      <w:r w:rsidR="009B0C90" w:rsidRPr="003F6E95">
        <w:rPr>
          <w:rFonts w:ascii="Times New Roman" w:hAnsi="Times New Roman" w:cs="Times New Roman"/>
          <w:sz w:val="27"/>
          <w:szCs w:val="27"/>
        </w:rPr>
        <w:t xml:space="preserve"> возникают следующие трудности</w:t>
      </w:r>
      <w:r w:rsidR="00727CB8" w:rsidRPr="003F6E95">
        <w:rPr>
          <w:rFonts w:ascii="Times New Roman" w:hAnsi="Times New Roman" w:cs="Times New Roman"/>
          <w:sz w:val="27"/>
          <w:szCs w:val="27"/>
        </w:rPr>
        <w:t>,</w:t>
      </w:r>
      <w:r w:rsidR="00FC63BB" w:rsidRPr="003F6E95">
        <w:rPr>
          <w:rFonts w:ascii="Times New Roman" w:hAnsi="Times New Roman" w:cs="Times New Roman"/>
          <w:sz w:val="27"/>
          <w:szCs w:val="27"/>
        </w:rPr>
        <w:t xml:space="preserve"> в том числе</w:t>
      </w:r>
      <w:r w:rsidR="00727CB8" w:rsidRPr="003F6E95">
        <w:rPr>
          <w:rFonts w:ascii="Times New Roman" w:hAnsi="Times New Roman" w:cs="Times New Roman"/>
          <w:sz w:val="27"/>
          <w:szCs w:val="27"/>
        </w:rPr>
        <w:t xml:space="preserve"> связанные</w:t>
      </w:r>
      <w:r w:rsidR="00FC63BB" w:rsidRPr="003F6E95">
        <w:rPr>
          <w:rFonts w:ascii="Times New Roman" w:hAnsi="Times New Roman" w:cs="Times New Roman"/>
          <w:sz w:val="27"/>
          <w:szCs w:val="27"/>
        </w:rPr>
        <w:t xml:space="preserve"> со спецификой развития банковского бизнеса в Российской Федерации</w:t>
      </w:r>
      <w:r w:rsidR="009B0C90" w:rsidRPr="003F6E95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0046FD" w:rsidRPr="003F6E95" w:rsidRDefault="009B0C90" w:rsidP="003F6E95">
      <w:pPr>
        <w:pStyle w:val="a3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3F6E95">
        <w:rPr>
          <w:rFonts w:ascii="Times New Roman" w:hAnsi="Times New Roman" w:cs="Times New Roman"/>
          <w:sz w:val="27"/>
          <w:szCs w:val="27"/>
        </w:rPr>
        <w:t xml:space="preserve">в случае существенного ухудшения </w:t>
      </w:r>
      <w:r w:rsidR="00FC63BB" w:rsidRPr="003F6E95">
        <w:rPr>
          <w:rFonts w:ascii="Times New Roman" w:hAnsi="Times New Roman" w:cs="Times New Roman"/>
          <w:sz w:val="27"/>
          <w:szCs w:val="27"/>
        </w:rPr>
        <w:t xml:space="preserve">финансовых </w:t>
      </w:r>
      <w:r w:rsidRPr="003F6E95">
        <w:rPr>
          <w:rFonts w:ascii="Times New Roman" w:hAnsi="Times New Roman" w:cs="Times New Roman"/>
          <w:sz w:val="27"/>
          <w:szCs w:val="27"/>
        </w:rPr>
        <w:t xml:space="preserve">показателей, </w:t>
      </w:r>
      <w:r w:rsidR="00AB6449" w:rsidRPr="003F6E95">
        <w:rPr>
          <w:rFonts w:ascii="Times New Roman" w:hAnsi="Times New Roman" w:cs="Times New Roman"/>
          <w:sz w:val="27"/>
          <w:szCs w:val="27"/>
        </w:rPr>
        <w:t>кредитные организации</w:t>
      </w:r>
      <w:r w:rsidRPr="003F6E95">
        <w:rPr>
          <w:rFonts w:ascii="Times New Roman" w:hAnsi="Times New Roman" w:cs="Times New Roman"/>
          <w:sz w:val="27"/>
          <w:szCs w:val="27"/>
        </w:rPr>
        <w:t xml:space="preserve"> </w:t>
      </w:r>
      <w:r w:rsidR="000046FD" w:rsidRPr="003F6E95">
        <w:rPr>
          <w:rFonts w:ascii="Times New Roman" w:hAnsi="Times New Roman" w:cs="Times New Roman"/>
          <w:sz w:val="27"/>
          <w:szCs w:val="27"/>
        </w:rPr>
        <w:t>искаж</w:t>
      </w:r>
      <w:r w:rsidR="00AB6449" w:rsidRPr="003F6E95">
        <w:rPr>
          <w:rFonts w:ascii="Times New Roman" w:hAnsi="Times New Roman" w:cs="Times New Roman"/>
          <w:sz w:val="27"/>
          <w:szCs w:val="27"/>
        </w:rPr>
        <w:t>ают</w:t>
      </w:r>
      <w:r w:rsidR="00FC63BB" w:rsidRPr="003F6E95">
        <w:rPr>
          <w:rFonts w:ascii="Times New Roman" w:hAnsi="Times New Roman" w:cs="Times New Roman"/>
          <w:sz w:val="27"/>
          <w:szCs w:val="27"/>
        </w:rPr>
        <w:t xml:space="preserve"> финансов</w:t>
      </w:r>
      <w:r w:rsidR="00AB6449" w:rsidRPr="003F6E95">
        <w:rPr>
          <w:rFonts w:ascii="Times New Roman" w:hAnsi="Times New Roman" w:cs="Times New Roman"/>
          <w:sz w:val="27"/>
          <w:szCs w:val="27"/>
        </w:rPr>
        <w:t>ую</w:t>
      </w:r>
      <w:r w:rsidR="000046FD" w:rsidRPr="003F6E95">
        <w:rPr>
          <w:rFonts w:ascii="Times New Roman" w:hAnsi="Times New Roman" w:cs="Times New Roman"/>
          <w:sz w:val="27"/>
          <w:szCs w:val="27"/>
        </w:rPr>
        <w:t xml:space="preserve"> </w:t>
      </w:r>
      <w:r w:rsidRPr="003F6E95">
        <w:rPr>
          <w:rFonts w:ascii="Times New Roman" w:hAnsi="Times New Roman" w:cs="Times New Roman"/>
          <w:sz w:val="27"/>
          <w:szCs w:val="27"/>
        </w:rPr>
        <w:t>отчетност</w:t>
      </w:r>
      <w:r w:rsidR="00AB6449" w:rsidRPr="003F6E95">
        <w:rPr>
          <w:rFonts w:ascii="Times New Roman" w:hAnsi="Times New Roman" w:cs="Times New Roman"/>
          <w:sz w:val="27"/>
          <w:szCs w:val="27"/>
        </w:rPr>
        <w:t>ь</w:t>
      </w:r>
      <w:r w:rsidRPr="003F6E95">
        <w:rPr>
          <w:rFonts w:ascii="Times New Roman" w:hAnsi="Times New Roman" w:cs="Times New Roman"/>
          <w:sz w:val="27"/>
          <w:szCs w:val="27"/>
        </w:rPr>
        <w:t xml:space="preserve">, что не позволяет </w:t>
      </w:r>
      <w:r w:rsidR="000046FD" w:rsidRPr="003F6E95">
        <w:rPr>
          <w:rFonts w:ascii="Times New Roman" w:hAnsi="Times New Roman" w:cs="Times New Roman"/>
          <w:sz w:val="27"/>
          <w:szCs w:val="27"/>
        </w:rPr>
        <w:t xml:space="preserve">корректно </w:t>
      </w:r>
      <w:r w:rsidRPr="003F6E95">
        <w:rPr>
          <w:rFonts w:ascii="Times New Roman" w:hAnsi="Times New Roman" w:cs="Times New Roman"/>
          <w:sz w:val="27"/>
          <w:szCs w:val="27"/>
        </w:rPr>
        <w:t>выделять закономерности</w:t>
      </w:r>
      <w:r w:rsidR="000046FD" w:rsidRPr="003F6E95">
        <w:rPr>
          <w:rFonts w:ascii="Times New Roman" w:hAnsi="Times New Roman" w:cs="Times New Roman"/>
          <w:sz w:val="27"/>
          <w:szCs w:val="27"/>
        </w:rPr>
        <w:t xml:space="preserve"> поведения соответствующих показателей;</w:t>
      </w:r>
    </w:p>
    <w:p w:rsidR="000046FD" w:rsidRPr="003F6E95" w:rsidRDefault="000046FD" w:rsidP="003F6E95">
      <w:pPr>
        <w:pStyle w:val="a3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3F6E95">
        <w:rPr>
          <w:rFonts w:ascii="Times New Roman" w:hAnsi="Times New Roman" w:cs="Times New Roman"/>
          <w:sz w:val="27"/>
          <w:szCs w:val="27"/>
        </w:rPr>
        <w:t>в условиях кризиса</w:t>
      </w:r>
      <w:r w:rsidR="00646E54" w:rsidRPr="003F6E95">
        <w:rPr>
          <w:rFonts w:ascii="Times New Roman" w:hAnsi="Times New Roman" w:cs="Times New Roman"/>
          <w:sz w:val="27"/>
          <w:szCs w:val="27"/>
        </w:rPr>
        <w:t>,</w:t>
      </w:r>
      <w:r w:rsidR="003533EA" w:rsidRPr="003F6E95">
        <w:rPr>
          <w:rFonts w:ascii="Times New Roman" w:hAnsi="Times New Roman" w:cs="Times New Roman"/>
          <w:sz w:val="27"/>
          <w:szCs w:val="27"/>
        </w:rPr>
        <w:t xml:space="preserve"> колебания фондовых индексов и процентных ставок </w:t>
      </w:r>
      <w:r w:rsidR="00CE4F16" w:rsidRPr="003F6E95">
        <w:rPr>
          <w:rFonts w:ascii="Times New Roman" w:hAnsi="Times New Roman" w:cs="Times New Roman"/>
          <w:sz w:val="27"/>
          <w:szCs w:val="27"/>
        </w:rPr>
        <w:t>оказывают негативное влияние на</w:t>
      </w:r>
      <w:r w:rsidR="003533EA" w:rsidRPr="003F6E95">
        <w:rPr>
          <w:rFonts w:ascii="Times New Roman" w:hAnsi="Times New Roman" w:cs="Times New Roman"/>
          <w:sz w:val="27"/>
          <w:szCs w:val="27"/>
        </w:rPr>
        <w:t xml:space="preserve"> кредитно</w:t>
      </w:r>
      <w:r w:rsidR="00CE4F16" w:rsidRPr="003F6E95">
        <w:rPr>
          <w:rFonts w:ascii="Times New Roman" w:hAnsi="Times New Roman" w:cs="Times New Roman"/>
          <w:sz w:val="27"/>
          <w:szCs w:val="27"/>
        </w:rPr>
        <w:t>е</w:t>
      </w:r>
      <w:r w:rsidR="003533EA" w:rsidRPr="003F6E95">
        <w:rPr>
          <w:rFonts w:ascii="Times New Roman" w:hAnsi="Times New Roman" w:cs="Times New Roman"/>
          <w:sz w:val="27"/>
          <w:szCs w:val="27"/>
        </w:rPr>
        <w:t xml:space="preserve"> качеств</w:t>
      </w:r>
      <w:r w:rsidR="00CE4F16" w:rsidRPr="003F6E95">
        <w:rPr>
          <w:rFonts w:ascii="Times New Roman" w:hAnsi="Times New Roman" w:cs="Times New Roman"/>
          <w:sz w:val="27"/>
          <w:szCs w:val="27"/>
        </w:rPr>
        <w:t>о</w:t>
      </w:r>
      <w:r w:rsidR="003533EA" w:rsidRPr="003F6E95">
        <w:rPr>
          <w:rFonts w:ascii="Times New Roman" w:hAnsi="Times New Roman" w:cs="Times New Roman"/>
          <w:sz w:val="27"/>
          <w:szCs w:val="27"/>
        </w:rPr>
        <w:t xml:space="preserve"> кредитной организации</w:t>
      </w:r>
      <w:r w:rsidR="00CE4F16" w:rsidRPr="003F6E95">
        <w:rPr>
          <w:rFonts w:ascii="Times New Roman" w:hAnsi="Times New Roman" w:cs="Times New Roman"/>
          <w:sz w:val="27"/>
          <w:szCs w:val="27"/>
        </w:rPr>
        <w:t xml:space="preserve"> (такое влияние затруднительно оценить на основе финансовой отчетности банк</w:t>
      </w:r>
      <w:r w:rsidR="001E300A" w:rsidRPr="003F6E95">
        <w:rPr>
          <w:rFonts w:ascii="Times New Roman" w:hAnsi="Times New Roman" w:cs="Times New Roman"/>
          <w:sz w:val="27"/>
          <w:szCs w:val="27"/>
        </w:rPr>
        <w:t>ов</w:t>
      </w:r>
      <w:r w:rsidR="00CE4F16" w:rsidRPr="003F6E95">
        <w:rPr>
          <w:rFonts w:ascii="Times New Roman" w:hAnsi="Times New Roman" w:cs="Times New Roman"/>
          <w:sz w:val="27"/>
          <w:szCs w:val="27"/>
        </w:rPr>
        <w:t>)</w:t>
      </w:r>
      <w:r w:rsidR="003533EA" w:rsidRPr="003F6E95">
        <w:rPr>
          <w:rFonts w:ascii="Times New Roman" w:hAnsi="Times New Roman" w:cs="Times New Roman"/>
          <w:sz w:val="27"/>
          <w:szCs w:val="27"/>
        </w:rPr>
        <w:t>;</w:t>
      </w:r>
      <w:r w:rsidRPr="003F6E9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301E5" w:rsidRPr="003F6E95" w:rsidRDefault="00CE4F16" w:rsidP="003F6E95">
      <w:pPr>
        <w:pStyle w:val="a3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3F6E95">
        <w:rPr>
          <w:rFonts w:ascii="Times New Roman" w:hAnsi="Times New Roman" w:cs="Times New Roman"/>
          <w:sz w:val="27"/>
          <w:szCs w:val="27"/>
        </w:rPr>
        <w:t xml:space="preserve">стремительное ухудшение краткосрочной ликвидности кредитных организаций, в условиях кризиса, </w:t>
      </w:r>
      <w:r w:rsidR="00AB38B3" w:rsidRPr="003F6E95">
        <w:rPr>
          <w:rFonts w:ascii="Times New Roman" w:hAnsi="Times New Roman" w:cs="Times New Roman"/>
          <w:sz w:val="27"/>
          <w:szCs w:val="27"/>
        </w:rPr>
        <w:t>затруднительно</w:t>
      </w:r>
      <w:r w:rsidRPr="003F6E95">
        <w:rPr>
          <w:rFonts w:ascii="Times New Roman" w:hAnsi="Times New Roman" w:cs="Times New Roman"/>
          <w:sz w:val="27"/>
          <w:szCs w:val="27"/>
        </w:rPr>
        <w:t xml:space="preserve"> учитывать в моделях, </w:t>
      </w:r>
      <w:r w:rsidR="001E300A" w:rsidRPr="003F6E95">
        <w:rPr>
          <w:rFonts w:ascii="Times New Roman" w:hAnsi="Times New Roman" w:cs="Times New Roman"/>
          <w:sz w:val="27"/>
          <w:szCs w:val="27"/>
        </w:rPr>
        <w:t>поскольку такое ухудшение</w:t>
      </w:r>
      <w:r w:rsidR="003301E5" w:rsidRPr="003F6E95">
        <w:rPr>
          <w:rFonts w:ascii="Times New Roman" w:hAnsi="Times New Roman" w:cs="Times New Roman"/>
          <w:sz w:val="27"/>
          <w:szCs w:val="27"/>
        </w:rPr>
        <w:t xml:space="preserve"> имеет </w:t>
      </w:r>
      <w:r w:rsidR="00C425D0" w:rsidRPr="003F6E95">
        <w:rPr>
          <w:rFonts w:ascii="Times New Roman" w:hAnsi="Times New Roman" w:cs="Times New Roman"/>
          <w:sz w:val="27"/>
          <w:szCs w:val="27"/>
        </w:rPr>
        <w:t xml:space="preserve">разную степень влияния </w:t>
      </w:r>
      <w:r w:rsidR="001E300A" w:rsidRPr="003F6E95">
        <w:rPr>
          <w:rFonts w:ascii="Times New Roman" w:hAnsi="Times New Roman" w:cs="Times New Roman"/>
          <w:sz w:val="27"/>
          <w:szCs w:val="27"/>
        </w:rPr>
        <w:t>на каждую отдельную кредитную организацию (</w:t>
      </w:r>
      <w:r w:rsidR="00C425D0" w:rsidRPr="003F6E95">
        <w:rPr>
          <w:rFonts w:ascii="Times New Roman" w:hAnsi="Times New Roman" w:cs="Times New Roman"/>
          <w:sz w:val="27"/>
          <w:szCs w:val="27"/>
        </w:rPr>
        <w:t>необходимо оценивать</w:t>
      </w:r>
      <w:r w:rsidR="003301E5" w:rsidRPr="003F6E95">
        <w:rPr>
          <w:rFonts w:ascii="Times New Roman" w:hAnsi="Times New Roman" w:cs="Times New Roman"/>
          <w:sz w:val="27"/>
          <w:szCs w:val="27"/>
        </w:rPr>
        <w:t xml:space="preserve"> источники финансирования краткосрочной ликвидности, </w:t>
      </w:r>
      <w:r w:rsidR="00C425D0" w:rsidRPr="003F6E95">
        <w:rPr>
          <w:rFonts w:ascii="Times New Roman" w:hAnsi="Times New Roman" w:cs="Times New Roman"/>
          <w:sz w:val="27"/>
          <w:szCs w:val="27"/>
        </w:rPr>
        <w:t>степень поддержки акционерами и государством и пр.</w:t>
      </w:r>
      <w:r w:rsidR="001E300A" w:rsidRPr="003F6E95">
        <w:rPr>
          <w:rFonts w:ascii="Times New Roman" w:hAnsi="Times New Roman" w:cs="Times New Roman"/>
          <w:sz w:val="27"/>
          <w:szCs w:val="27"/>
        </w:rPr>
        <w:t>)</w:t>
      </w:r>
      <w:r w:rsidRPr="003F6E95">
        <w:rPr>
          <w:rFonts w:ascii="Times New Roman" w:hAnsi="Times New Roman" w:cs="Times New Roman"/>
          <w:sz w:val="27"/>
          <w:szCs w:val="27"/>
        </w:rPr>
        <w:t>;</w:t>
      </w:r>
    </w:p>
    <w:p w:rsidR="0049722A" w:rsidRPr="003F6E95" w:rsidRDefault="00AB38B3" w:rsidP="003F6E95">
      <w:pPr>
        <w:pStyle w:val="a3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3F6E95">
        <w:rPr>
          <w:rFonts w:ascii="Times New Roman" w:hAnsi="Times New Roman" w:cs="Times New Roman"/>
          <w:sz w:val="27"/>
          <w:szCs w:val="27"/>
        </w:rPr>
        <w:t xml:space="preserve">нефинансовые факторы </w:t>
      </w:r>
      <w:r w:rsidR="000046FD" w:rsidRPr="003F6E95">
        <w:rPr>
          <w:rFonts w:ascii="Times New Roman" w:hAnsi="Times New Roman" w:cs="Times New Roman"/>
          <w:sz w:val="27"/>
          <w:szCs w:val="27"/>
        </w:rPr>
        <w:t>являются существенными</w:t>
      </w:r>
      <w:r w:rsidRPr="003F6E95">
        <w:rPr>
          <w:rFonts w:ascii="Times New Roman" w:hAnsi="Times New Roman" w:cs="Times New Roman"/>
          <w:sz w:val="27"/>
          <w:szCs w:val="27"/>
        </w:rPr>
        <w:t xml:space="preserve"> (а в некоторых случаях основными)</w:t>
      </w:r>
      <w:r w:rsidR="000046FD" w:rsidRPr="003F6E95">
        <w:rPr>
          <w:rFonts w:ascii="Times New Roman" w:hAnsi="Times New Roman" w:cs="Times New Roman"/>
          <w:sz w:val="27"/>
          <w:szCs w:val="27"/>
        </w:rPr>
        <w:t xml:space="preserve">, </w:t>
      </w:r>
      <w:r w:rsidRPr="003F6E95">
        <w:rPr>
          <w:rFonts w:ascii="Times New Roman" w:hAnsi="Times New Roman" w:cs="Times New Roman"/>
          <w:sz w:val="27"/>
          <w:szCs w:val="27"/>
        </w:rPr>
        <w:t xml:space="preserve">при формировании оценки кредитного риска кредитной организации. </w:t>
      </w:r>
    </w:p>
    <w:p w:rsidR="007C7C7F" w:rsidRDefault="00132B0D" w:rsidP="003F6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6E95">
        <w:rPr>
          <w:rFonts w:ascii="Times New Roman" w:hAnsi="Times New Roman" w:cs="Times New Roman"/>
          <w:sz w:val="27"/>
          <w:szCs w:val="27"/>
        </w:rPr>
        <w:lastRenderedPageBreak/>
        <w:t>Рассмотрим динамику соотношения просроченной задолженности к выданным кредитам</w:t>
      </w:r>
      <w:r w:rsidR="007E6955" w:rsidRPr="003F6E95">
        <w:rPr>
          <w:rFonts w:ascii="Times New Roman" w:hAnsi="Times New Roman" w:cs="Times New Roman"/>
          <w:sz w:val="27"/>
          <w:szCs w:val="27"/>
        </w:rPr>
        <w:t xml:space="preserve"> </w:t>
      </w:r>
      <w:r w:rsidR="00E357AC" w:rsidRPr="003F6E95">
        <w:rPr>
          <w:rFonts w:ascii="Times New Roman" w:hAnsi="Times New Roman" w:cs="Times New Roman"/>
          <w:sz w:val="27"/>
          <w:szCs w:val="27"/>
        </w:rPr>
        <w:t>Т</w:t>
      </w:r>
      <w:r w:rsidR="00CB5D9E" w:rsidRPr="003F6E95">
        <w:rPr>
          <w:rFonts w:ascii="Times New Roman" w:hAnsi="Times New Roman" w:cs="Times New Roman"/>
          <w:sz w:val="27"/>
          <w:szCs w:val="27"/>
        </w:rPr>
        <w:t>оп-</w:t>
      </w:r>
      <w:r w:rsidRPr="003F6E95">
        <w:rPr>
          <w:rFonts w:ascii="Times New Roman" w:hAnsi="Times New Roman" w:cs="Times New Roman"/>
          <w:sz w:val="27"/>
          <w:szCs w:val="27"/>
        </w:rPr>
        <w:t xml:space="preserve">10 (по </w:t>
      </w:r>
      <w:r w:rsidR="007E6955" w:rsidRPr="003F6E95">
        <w:rPr>
          <w:rFonts w:ascii="Times New Roman" w:hAnsi="Times New Roman" w:cs="Times New Roman"/>
          <w:sz w:val="27"/>
          <w:szCs w:val="27"/>
        </w:rPr>
        <w:t xml:space="preserve">размеру </w:t>
      </w:r>
      <w:r w:rsidRPr="003F6E95">
        <w:rPr>
          <w:rFonts w:ascii="Times New Roman" w:hAnsi="Times New Roman" w:cs="Times New Roman"/>
          <w:sz w:val="27"/>
          <w:szCs w:val="27"/>
        </w:rPr>
        <w:t>чисты</w:t>
      </w:r>
      <w:r w:rsidR="007E6955" w:rsidRPr="003F6E95">
        <w:rPr>
          <w:rFonts w:ascii="Times New Roman" w:hAnsi="Times New Roman" w:cs="Times New Roman"/>
          <w:sz w:val="27"/>
          <w:szCs w:val="27"/>
        </w:rPr>
        <w:t>х</w:t>
      </w:r>
      <w:r w:rsidRPr="003F6E95">
        <w:rPr>
          <w:rFonts w:ascii="Times New Roman" w:hAnsi="Times New Roman" w:cs="Times New Roman"/>
          <w:sz w:val="27"/>
          <w:szCs w:val="27"/>
        </w:rPr>
        <w:t xml:space="preserve"> актив</w:t>
      </w:r>
      <w:r w:rsidR="007E6955" w:rsidRPr="003F6E95">
        <w:rPr>
          <w:rFonts w:ascii="Times New Roman" w:hAnsi="Times New Roman" w:cs="Times New Roman"/>
          <w:sz w:val="27"/>
          <w:szCs w:val="27"/>
        </w:rPr>
        <w:t>ов</w:t>
      </w:r>
      <w:r w:rsidRPr="003F6E95">
        <w:rPr>
          <w:rFonts w:ascii="Times New Roman" w:hAnsi="Times New Roman" w:cs="Times New Roman"/>
          <w:sz w:val="27"/>
          <w:szCs w:val="27"/>
        </w:rPr>
        <w:t>) российских банков (</w:t>
      </w:r>
      <w:proofErr w:type="gramStart"/>
      <w:r w:rsidRPr="003F6E95">
        <w:rPr>
          <w:rFonts w:ascii="Times New Roman" w:hAnsi="Times New Roman" w:cs="Times New Roman"/>
          <w:sz w:val="27"/>
          <w:szCs w:val="27"/>
        </w:rPr>
        <w:t>средневзвешенная</w:t>
      </w:r>
      <w:proofErr w:type="gramEnd"/>
      <w:r w:rsidRPr="003F6E95">
        <w:rPr>
          <w:rFonts w:ascii="Times New Roman" w:hAnsi="Times New Roman" w:cs="Times New Roman"/>
          <w:sz w:val="27"/>
          <w:szCs w:val="27"/>
        </w:rPr>
        <w:t xml:space="preserve"> по объему выданных кредитов)</w:t>
      </w:r>
      <w:r w:rsidR="00E357AC" w:rsidRPr="003F6E95">
        <w:rPr>
          <w:rFonts w:ascii="Times New Roman" w:hAnsi="Times New Roman" w:cs="Times New Roman"/>
          <w:sz w:val="27"/>
          <w:szCs w:val="27"/>
        </w:rPr>
        <w:t xml:space="preserve"> в периоды стагнации 2008</w:t>
      </w:r>
      <w:r w:rsidR="00CB5D9E" w:rsidRPr="003F6E95">
        <w:rPr>
          <w:rFonts w:ascii="Times New Roman" w:hAnsi="Times New Roman" w:cs="Times New Roman"/>
          <w:sz w:val="27"/>
          <w:szCs w:val="27"/>
        </w:rPr>
        <w:t>-2009</w:t>
      </w:r>
      <w:r w:rsidR="00E357AC" w:rsidRPr="003F6E95">
        <w:rPr>
          <w:rFonts w:ascii="Times New Roman" w:hAnsi="Times New Roman" w:cs="Times New Roman"/>
          <w:sz w:val="27"/>
          <w:szCs w:val="27"/>
        </w:rPr>
        <w:t xml:space="preserve"> и 2014</w:t>
      </w:r>
      <w:r w:rsidR="00CB5D9E" w:rsidRPr="003F6E95">
        <w:rPr>
          <w:rFonts w:ascii="Times New Roman" w:hAnsi="Times New Roman" w:cs="Times New Roman"/>
          <w:sz w:val="27"/>
          <w:szCs w:val="27"/>
        </w:rPr>
        <w:t>-2015</w:t>
      </w:r>
      <w:r w:rsidR="00E357AC" w:rsidRPr="003F6E95">
        <w:rPr>
          <w:rFonts w:ascii="Times New Roman" w:hAnsi="Times New Roman" w:cs="Times New Roman"/>
          <w:sz w:val="27"/>
          <w:szCs w:val="27"/>
        </w:rPr>
        <w:t xml:space="preserve"> годов</w:t>
      </w:r>
      <w:r w:rsidR="00CB5D9E" w:rsidRPr="003F6E95">
        <w:rPr>
          <w:rFonts w:ascii="Times New Roman" w:hAnsi="Times New Roman" w:cs="Times New Roman"/>
          <w:sz w:val="27"/>
          <w:szCs w:val="27"/>
        </w:rPr>
        <w:t xml:space="preserve"> соответственно</w:t>
      </w:r>
      <w:r w:rsidRPr="003F6E95">
        <w:rPr>
          <w:rFonts w:ascii="Times New Roman" w:hAnsi="Times New Roman" w:cs="Times New Roman"/>
          <w:sz w:val="27"/>
          <w:szCs w:val="27"/>
        </w:rPr>
        <w:t>:</w:t>
      </w:r>
    </w:p>
    <w:p w:rsidR="003F6E95" w:rsidRPr="003F6E95" w:rsidRDefault="003F6E95" w:rsidP="003F6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E6955" w:rsidRDefault="00E357AC" w:rsidP="00E357AC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3114675" cy="257175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 w:rsidR="00CB5D9E">
        <w:rPr>
          <w:rFonts w:ascii="Times New Roman" w:hAnsi="Times New Roman" w:cs="Times New Roman"/>
        </w:rPr>
        <w:t xml:space="preserve"> </w:t>
      </w:r>
      <w:r w:rsidR="0000507B">
        <w:rPr>
          <w:noProof/>
          <w:lang w:eastAsia="ru-RU"/>
        </w:rPr>
        <w:drawing>
          <wp:inline distT="0" distB="0" distL="0" distR="0">
            <wp:extent cx="3028950" cy="2581275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CB5D9E" w:rsidTr="00CB5D9E">
        <w:tc>
          <w:tcPr>
            <w:tcW w:w="5069" w:type="dxa"/>
          </w:tcPr>
          <w:p w:rsidR="00CB5D9E" w:rsidRDefault="00CB5D9E" w:rsidP="00CB5D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9E">
              <w:rPr>
                <w:rFonts w:ascii="Times New Roman" w:hAnsi="Times New Roman" w:cs="Times New Roman"/>
                <w:sz w:val="20"/>
                <w:szCs w:val="20"/>
              </w:rPr>
              <w:t xml:space="preserve">Рис. 6: динамика соотношения просроченной задолженности к выданным кредитам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Топ-</w:t>
            </w:r>
            <w:r w:rsidRPr="00CB5D9E">
              <w:rPr>
                <w:rFonts w:ascii="Times New Roman" w:hAnsi="Times New Roman" w:cs="Times New Roman"/>
                <w:sz w:val="20"/>
                <w:szCs w:val="20"/>
              </w:rPr>
              <w:t xml:space="preserve">10 банков России в период 2008-2009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годов.</w:t>
            </w:r>
          </w:p>
        </w:tc>
        <w:tc>
          <w:tcPr>
            <w:tcW w:w="5069" w:type="dxa"/>
          </w:tcPr>
          <w:p w:rsidR="00CB5D9E" w:rsidRDefault="00CB5D9E" w:rsidP="00CB5D9E">
            <w:pPr>
              <w:ind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9E">
              <w:rPr>
                <w:rFonts w:ascii="Times New Roman" w:hAnsi="Times New Roman" w:cs="Times New Roman"/>
                <w:sz w:val="20"/>
                <w:szCs w:val="20"/>
              </w:rPr>
              <w:t>Рис.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Pr="00CB5D9E">
              <w:rPr>
                <w:rFonts w:ascii="Times New Roman" w:hAnsi="Times New Roman" w:cs="Times New Roman"/>
                <w:sz w:val="20"/>
                <w:szCs w:val="20"/>
              </w:rPr>
              <w:t>: динамика соотношения просроченной задолженности к выданным кредитам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оп-</w:t>
            </w:r>
            <w:r w:rsidRPr="00CB5D9E">
              <w:rPr>
                <w:rFonts w:ascii="Times New Roman" w:hAnsi="Times New Roman" w:cs="Times New Roman"/>
                <w:sz w:val="20"/>
                <w:szCs w:val="20"/>
              </w:rPr>
              <w:t>10 банков России в период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CB5D9E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B5D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годов</w:t>
            </w:r>
            <w:r w:rsidRPr="00CB5D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3F6E95" w:rsidRDefault="003F6E95" w:rsidP="003F6E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32B0D" w:rsidRPr="003F6E95" w:rsidRDefault="00E44272" w:rsidP="003F6E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F6E95">
        <w:rPr>
          <w:rFonts w:ascii="Times New Roman" w:hAnsi="Times New Roman" w:cs="Times New Roman"/>
          <w:sz w:val="27"/>
          <w:szCs w:val="27"/>
        </w:rPr>
        <w:t xml:space="preserve">На </w:t>
      </w:r>
      <w:r w:rsidR="00CB5D9E" w:rsidRPr="003F6E95">
        <w:rPr>
          <w:rFonts w:ascii="Times New Roman" w:hAnsi="Times New Roman" w:cs="Times New Roman"/>
          <w:sz w:val="27"/>
          <w:szCs w:val="27"/>
        </w:rPr>
        <w:t>рисунке 6 и 7</w:t>
      </w:r>
      <w:r w:rsidRPr="003F6E95">
        <w:rPr>
          <w:rFonts w:ascii="Times New Roman" w:hAnsi="Times New Roman" w:cs="Times New Roman"/>
          <w:sz w:val="27"/>
          <w:szCs w:val="27"/>
        </w:rPr>
        <w:t xml:space="preserve"> можно видеть, что уровень просроченной задолженности в периоды финансово</w:t>
      </w:r>
      <w:r w:rsidR="00BB6108" w:rsidRPr="003F6E95">
        <w:rPr>
          <w:rFonts w:ascii="Times New Roman" w:hAnsi="Times New Roman" w:cs="Times New Roman"/>
          <w:sz w:val="27"/>
          <w:szCs w:val="27"/>
        </w:rPr>
        <w:t>-</w:t>
      </w:r>
      <w:r w:rsidRPr="003F6E95">
        <w:rPr>
          <w:rFonts w:ascii="Times New Roman" w:hAnsi="Times New Roman" w:cs="Times New Roman"/>
          <w:sz w:val="27"/>
          <w:szCs w:val="27"/>
        </w:rPr>
        <w:t>экономической нестабильности увеличива</w:t>
      </w:r>
      <w:r w:rsidR="00BB6108" w:rsidRPr="003F6E95">
        <w:rPr>
          <w:rFonts w:ascii="Times New Roman" w:hAnsi="Times New Roman" w:cs="Times New Roman"/>
          <w:sz w:val="27"/>
          <w:szCs w:val="27"/>
        </w:rPr>
        <w:t>е</w:t>
      </w:r>
      <w:r w:rsidRPr="003F6E95">
        <w:rPr>
          <w:rFonts w:ascii="Times New Roman" w:hAnsi="Times New Roman" w:cs="Times New Roman"/>
          <w:sz w:val="27"/>
          <w:szCs w:val="27"/>
        </w:rPr>
        <w:t>тся.</w:t>
      </w:r>
      <w:r w:rsidR="00867EE4" w:rsidRPr="003F6E95">
        <w:rPr>
          <w:rFonts w:ascii="Times New Roman" w:hAnsi="Times New Roman" w:cs="Times New Roman"/>
          <w:sz w:val="27"/>
          <w:szCs w:val="27"/>
        </w:rPr>
        <w:t xml:space="preserve"> На начало 2014 года уровень просроченной задолженности был на уровне 2009 года.</w:t>
      </w:r>
    </w:p>
    <w:p w:rsidR="00433DEC" w:rsidRDefault="00433DEC" w:rsidP="003F6E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F6E95">
        <w:rPr>
          <w:rFonts w:ascii="Times New Roman" w:hAnsi="Times New Roman" w:cs="Times New Roman"/>
          <w:sz w:val="27"/>
          <w:szCs w:val="27"/>
        </w:rPr>
        <w:t>Рассмотрим динамику соотношения просроченной задолженности и создаваемых в кредитных организациях ре</w:t>
      </w:r>
      <w:r w:rsidR="00CB5D9E" w:rsidRPr="003F6E95">
        <w:rPr>
          <w:rFonts w:ascii="Times New Roman" w:hAnsi="Times New Roman" w:cs="Times New Roman"/>
          <w:sz w:val="27"/>
          <w:szCs w:val="27"/>
        </w:rPr>
        <w:t>зервов на возможные потери (Топ-</w:t>
      </w:r>
      <w:r w:rsidRPr="003F6E95">
        <w:rPr>
          <w:rFonts w:ascii="Times New Roman" w:hAnsi="Times New Roman" w:cs="Times New Roman"/>
          <w:sz w:val="27"/>
          <w:szCs w:val="27"/>
        </w:rPr>
        <w:t>10 кредитных организаций России по размеру чистых активов)  в периоды 2008-2009 и 2014-2015 годов.</w:t>
      </w:r>
    </w:p>
    <w:p w:rsidR="003F6E95" w:rsidRPr="003F6E95" w:rsidRDefault="003F6E95" w:rsidP="003F6E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33DEC" w:rsidRDefault="00433DEC" w:rsidP="00433DEC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095625" cy="25241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A36DDC">
        <w:rPr>
          <w:rFonts w:ascii="Times New Roman" w:hAnsi="Times New Roman" w:cs="Times New Roman"/>
        </w:rPr>
        <w:t xml:space="preserve"> </w:t>
      </w:r>
      <w:r w:rsidR="00A36DDC">
        <w:rPr>
          <w:noProof/>
          <w:lang w:eastAsia="ru-RU"/>
        </w:rPr>
        <w:drawing>
          <wp:inline distT="0" distB="0" distL="0" distR="0">
            <wp:extent cx="3105150" cy="25146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FA4F6D" w:rsidTr="00D562C9">
        <w:tc>
          <w:tcPr>
            <w:tcW w:w="5069" w:type="dxa"/>
          </w:tcPr>
          <w:p w:rsidR="00FA4F6D" w:rsidRDefault="00FA4F6D" w:rsidP="00FA4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9E">
              <w:rPr>
                <w:rFonts w:ascii="Times New Roman" w:hAnsi="Times New Roman" w:cs="Times New Roman"/>
                <w:sz w:val="20"/>
                <w:szCs w:val="20"/>
              </w:rPr>
              <w:t>Рис.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Pr="00CB5D9E">
              <w:rPr>
                <w:rFonts w:ascii="Times New Roman" w:hAnsi="Times New Roman" w:cs="Times New Roman"/>
                <w:sz w:val="20"/>
                <w:szCs w:val="20"/>
              </w:rPr>
              <w:t xml:space="preserve">: динамика </w:t>
            </w:r>
            <w:r w:rsidRPr="00FA4F6D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соотношения просроченной задолженности и создаваемых в кредитных организациях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(Топ-</w:t>
            </w:r>
            <w:r w:rsidRPr="00CB5D9E">
              <w:rPr>
                <w:rFonts w:ascii="Times New Roman" w:hAnsi="Times New Roman" w:cs="Times New Roman"/>
                <w:sz w:val="20"/>
                <w:szCs w:val="20"/>
              </w:rPr>
              <w:t>10 банков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B5D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4F6D">
              <w:rPr>
                <w:rFonts w:ascii="Times New Roman" w:hAnsi="Times New Roman" w:cs="Times New Roman"/>
                <w:sz w:val="20"/>
                <w:szCs w:val="20"/>
              </w:rPr>
              <w:t>резервов на возможные потери</w:t>
            </w:r>
            <w:r w:rsidRPr="00CB5D9E">
              <w:rPr>
                <w:rFonts w:ascii="Times New Roman" w:hAnsi="Times New Roman" w:cs="Times New Roman"/>
                <w:sz w:val="20"/>
                <w:szCs w:val="20"/>
              </w:rPr>
              <w:t xml:space="preserve"> в период 2008-2009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годов.</w:t>
            </w:r>
          </w:p>
        </w:tc>
        <w:tc>
          <w:tcPr>
            <w:tcW w:w="5069" w:type="dxa"/>
          </w:tcPr>
          <w:p w:rsidR="00FA4F6D" w:rsidRDefault="00FA4F6D" w:rsidP="00FA4F6D">
            <w:pPr>
              <w:ind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D9E">
              <w:rPr>
                <w:rFonts w:ascii="Times New Roman" w:hAnsi="Times New Roman" w:cs="Times New Roman"/>
                <w:sz w:val="20"/>
                <w:szCs w:val="20"/>
              </w:rPr>
              <w:t>Рис.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Pr="00CB5D9E">
              <w:rPr>
                <w:rFonts w:ascii="Times New Roman" w:hAnsi="Times New Roman" w:cs="Times New Roman"/>
                <w:sz w:val="20"/>
                <w:szCs w:val="20"/>
              </w:rPr>
              <w:t xml:space="preserve">: динамика </w:t>
            </w:r>
            <w:r w:rsidRPr="00FA4F6D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соотношения просроченной задолженности и создаваемых в кредитных организациях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(Топ-</w:t>
            </w:r>
            <w:r w:rsidRPr="00CB5D9E">
              <w:rPr>
                <w:rFonts w:ascii="Times New Roman" w:hAnsi="Times New Roman" w:cs="Times New Roman"/>
                <w:sz w:val="20"/>
                <w:szCs w:val="20"/>
              </w:rPr>
              <w:t>10 банков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B5D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4F6D">
              <w:rPr>
                <w:rFonts w:ascii="Times New Roman" w:hAnsi="Times New Roman" w:cs="Times New Roman"/>
                <w:sz w:val="20"/>
                <w:szCs w:val="20"/>
              </w:rPr>
              <w:t>резервов на возможные потери</w:t>
            </w:r>
            <w:r w:rsidRPr="00CB5D9E">
              <w:rPr>
                <w:rFonts w:ascii="Times New Roman" w:hAnsi="Times New Roman" w:cs="Times New Roman"/>
                <w:sz w:val="20"/>
                <w:szCs w:val="20"/>
              </w:rPr>
              <w:t xml:space="preserve"> в период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CB5D9E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B5D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годов</w:t>
            </w:r>
            <w:r w:rsidRPr="00CB5D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3F6E95" w:rsidRDefault="003F6E95" w:rsidP="00FA4F6D">
      <w:pPr>
        <w:spacing w:before="120" w:after="0"/>
        <w:ind w:firstLine="567"/>
        <w:jc w:val="both"/>
        <w:rPr>
          <w:rFonts w:ascii="Times New Roman" w:hAnsi="Times New Roman" w:cs="Times New Roman"/>
        </w:rPr>
      </w:pPr>
    </w:p>
    <w:p w:rsidR="00CB110E" w:rsidRPr="003F6E95" w:rsidRDefault="00CB110E" w:rsidP="003F6E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F6E95">
        <w:rPr>
          <w:rFonts w:ascii="Times New Roman" w:hAnsi="Times New Roman" w:cs="Times New Roman"/>
          <w:sz w:val="27"/>
          <w:szCs w:val="27"/>
        </w:rPr>
        <w:t xml:space="preserve">На </w:t>
      </w:r>
      <w:r w:rsidR="00FA4F6D" w:rsidRPr="003F6E95">
        <w:rPr>
          <w:rFonts w:ascii="Times New Roman" w:hAnsi="Times New Roman" w:cs="Times New Roman"/>
          <w:sz w:val="27"/>
          <w:szCs w:val="27"/>
        </w:rPr>
        <w:t>рисун</w:t>
      </w:r>
      <w:r w:rsidRPr="003F6E95">
        <w:rPr>
          <w:rFonts w:ascii="Times New Roman" w:hAnsi="Times New Roman" w:cs="Times New Roman"/>
          <w:sz w:val="27"/>
          <w:szCs w:val="27"/>
        </w:rPr>
        <w:t>ках</w:t>
      </w:r>
      <w:r w:rsidR="00FA4F6D" w:rsidRPr="003F6E95">
        <w:rPr>
          <w:rFonts w:ascii="Times New Roman" w:hAnsi="Times New Roman" w:cs="Times New Roman"/>
          <w:sz w:val="27"/>
          <w:szCs w:val="27"/>
        </w:rPr>
        <w:t xml:space="preserve"> 8 и 9</w:t>
      </w:r>
      <w:r w:rsidRPr="003F6E95">
        <w:rPr>
          <w:rFonts w:ascii="Times New Roman" w:hAnsi="Times New Roman" w:cs="Times New Roman"/>
          <w:sz w:val="27"/>
          <w:szCs w:val="27"/>
        </w:rPr>
        <w:t xml:space="preserve"> можно видеть сокращение резервов по сравнению с ростом просроченной </w:t>
      </w:r>
      <w:r w:rsidR="00433DEC" w:rsidRPr="003F6E95">
        <w:rPr>
          <w:rFonts w:ascii="Times New Roman" w:hAnsi="Times New Roman" w:cs="Times New Roman"/>
          <w:sz w:val="27"/>
          <w:szCs w:val="27"/>
        </w:rPr>
        <w:t>задолженности, что может свидетельствовать об ухудшении финансовой устойчивости кредитных организаций</w:t>
      </w:r>
      <w:r w:rsidR="00A36DDC" w:rsidRPr="003F6E95">
        <w:rPr>
          <w:rFonts w:ascii="Times New Roman" w:hAnsi="Times New Roman" w:cs="Times New Roman"/>
          <w:sz w:val="27"/>
          <w:szCs w:val="27"/>
        </w:rPr>
        <w:t xml:space="preserve"> в банковском секторе</w:t>
      </w:r>
      <w:r w:rsidR="00433DEC" w:rsidRPr="003F6E95">
        <w:rPr>
          <w:rFonts w:ascii="Times New Roman" w:hAnsi="Times New Roman" w:cs="Times New Roman"/>
          <w:sz w:val="27"/>
          <w:szCs w:val="27"/>
        </w:rPr>
        <w:t>.</w:t>
      </w:r>
    </w:p>
    <w:p w:rsidR="001B1C43" w:rsidRPr="003F6E95" w:rsidRDefault="001B1C43" w:rsidP="003F6E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F6E95">
        <w:rPr>
          <w:rFonts w:ascii="Times New Roman" w:hAnsi="Times New Roman" w:cs="Times New Roman"/>
          <w:sz w:val="27"/>
          <w:szCs w:val="27"/>
        </w:rPr>
        <w:t xml:space="preserve">Рассмотрим динамику показателя </w:t>
      </w:r>
      <w:r w:rsidRPr="003F6E95">
        <w:rPr>
          <w:rFonts w:ascii="Times New Roman" w:hAnsi="Times New Roman" w:cs="Times New Roman"/>
          <w:sz w:val="27"/>
          <w:szCs w:val="27"/>
          <w:lang w:val="en-US"/>
        </w:rPr>
        <w:t>CVAR</w:t>
      </w:r>
      <w:r w:rsidR="00AC06AD" w:rsidRPr="003F6E95">
        <w:rPr>
          <w:rStyle w:val="a9"/>
          <w:rFonts w:ascii="Times New Roman" w:hAnsi="Times New Roman" w:cs="Times New Roman"/>
          <w:sz w:val="27"/>
          <w:szCs w:val="27"/>
          <w:lang w:val="en-US"/>
        </w:rPr>
        <w:footnoteReference w:id="6"/>
      </w:r>
      <w:r w:rsidRPr="003F6E95">
        <w:rPr>
          <w:rFonts w:ascii="Times New Roman" w:hAnsi="Times New Roman" w:cs="Times New Roman"/>
          <w:sz w:val="27"/>
          <w:szCs w:val="27"/>
        </w:rPr>
        <w:t xml:space="preserve"> (</w:t>
      </w:r>
      <w:r w:rsidRPr="003F6E95">
        <w:rPr>
          <w:rFonts w:ascii="Times New Roman" w:hAnsi="Times New Roman" w:cs="Times New Roman"/>
          <w:sz w:val="27"/>
          <w:szCs w:val="27"/>
          <w:lang w:val="en-US"/>
        </w:rPr>
        <w:t>Credit</w:t>
      </w:r>
      <w:r w:rsidRPr="003F6E95">
        <w:rPr>
          <w:rFonts w:ascii="Times New Roman" w:hAnsi="Times New Roman" w:cs="Times New Roman"/>
          <w:sz w:val="27"/>
          <w:szCs w:val="27"/>
        </w:rPr>
        <w:t xml:space="preserve"> </w:t>
      </w:r>
      <w:r w:rsidRPr="003F6E95">
        <w:rPr>
          <w:rFonts w:ascii="Times New Roman" w:hAnsi="Times New Roman" w:cs="Times New Roman"/>
          <w:sz w:val="27"/>
          <w:szCs w:val="27"/>
          <w:lang w:val="en-US"/>
        </w:rPr>
        <w:t>Value</w:t>
      </w:r>
      <w:r w:rsidRPr="003F6E95">
        <w:rPr>
          <w:rFonts w:ascii="Times New Roman" w:hAnsi="Times New Roman" w:cs="Times New Roman"/>
          <w:sz w:val="27"/>
          <w:szCs w:val="27"/>
        </w:rPr>
        <w:t xml:space="preserve"> </w:t>
      </w:r>
      <w:r w:rsidRPr="003F6E95">
        <w:rPr>
          <w:rFonts w:ascii="Times New Roman" w:hAnsi="Times New Roman" w:cs="Times New Roman"/>
          <w:sz w:val="27"/>
          <w:szCs w:val="27"/>
          <w:lang w:val="en-US"/>
        </w:rPr>
        <w:t>at</w:t>
      </w:r>
      <w:r w:rsidRPr="003F6E95">
        <w:rPr>
          <w:rFonts w:ascii="Times New Roman" w:hAnsi="Times New Roman" w:cs="Times New Roman"/>
          <w:sz w:val="27"/>
          <w:szCs w:val="27"/>
        </w:rPr>
        <w:t xml:space="preserve"> </w:t>
      </w:r>
      <w:r w:rsidRPr="003F6E95">
        <w:rPr>
          <w:rFonts w:ascii="Times New Roman" w:hAnsi="Times New Roman" w:cs="Times New Roman"/>
          <w:sz w:val="27"/>
          <w:szCs w:val="27"/>
          <w:lang w:val="en-US"/>
        </w:rPr>
        <w:t>Risk</w:t>
      </w:r>
      <w:r w:rsidRPr="003F6E95">
        <w:rPr>
          <w:rFonts w:ascii="Times New Roman" w:hAnsi="Times New Roman" w:cs="Times New Roman"/>
          <w:sz w:val="27"/>
          <w:szCs w:val="27"/>
        </w:rPr>
        <w:t>) модельного портфеля депозитов за период с 01.04.2014 по 24.02.2015. Предположим, что средства в равных долях распределены между десятью банками (</w:t>
      </w:r>
      <w:r w:rsidR="00FA4F6D" w:rsidRPr="003F6E95">
        <w:rPr>
          <w:rFonts w:ascii="Times New Roman" w:hAnsi="Times New Roman" w:cs="Times New Roman"/>
          <w:sz w:val="27"/>
          <w:szCs w:val="27"/>
        </w:rPr>
        <w:t>Т</w:t>
      </w:r>
      <w:r w:rsidRPr="003F6E95">
        <w:rPr>
          <w:rFonts w:ascii="Times New Roman" w:hAnsi="Times New Roman" w:cs="Times New Roman"/>
          <w:sz w:val="27"/>
          <w:szCs w:val="27"/>
        </w:rPr>
        <w:t xml:space="preserve">оп-10 кредитных организаций России по объему чистых активов). </w:t>
      </w:r>
    </w:p>
    <w:p w:rsidR="003F6E95" w:rsidRDefault="003F6E95" w:rsidP="00FA4F6D">
      <w:pPr>
        <w:spacing w:after="120"/>
        <w:ind w:firstLine="567"/>
        <w:jc w:val="both"/>
        <w:rPr>
          <w:rFonts w:ascii="Times New Roman" w:hAnsi="Times New Roman" w:cs="Times New Roman"/>
        </w:rPr>
      </w:pPr>
    </w:p>
    <w:p w:rsidR="001B1C43" w:rsidRDefault="001B1C43" w:rsidP="00FA4F6D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6238875" cy="2957830"/>
            <wp:effectExtent l="1905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A4F6D" w:rsidRPr="00A735AF" w:rsidRDefault="00FA4F6D" w:rsidP="00FA4F6D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A735AF">
        <w:rPr>
          <w:rFonts w:ascii="Times New Roman" w:hAnsi="Times New Roman" w:cs="Times New Roman"/>
          <w:sz w:val="20"/>
          <w:szCs w:val="20"/>
        </w:rPr>
        <w:lastRenderedPageBreak/>
        <w:t>Рис. 10: динамика показателя кредитного VAR</w:t>
      </w:r>
      <w:r w:rsidR="00A735AF" w:rsidRPr="00A735AF">
        <w:rPr>
          <w:rFonts w:ascii="Times New Roman" w:hAnsi="Times New Roman" w:cs="Times New Roman"/>
          <w:sz w:val="20"/>
          <w:szCs w:val="20"/>
        </w:rPr>
        <w:t xml:space="preserve"> Топ-10 кредитных организаций России по объему чистых активов</w:t>
      </w:r>
      <w:r w:rsidRPr="00A735AF">
        <w:rPr>
          <w:rFonts w:ascii="Times New Roman" w:hAnsi="Times New Roman" w:cs="Times New Roman"/>
          <w:sz w:val="20"/>
          <w:szCs w:val="20"/>
        </w:rPr>
        <w:t>.</w:t>
      </w:r>
    </w:p>
    <w:p w:rsidR="001B1C43" w:rsidRPr="003F6E95" w:rsidRDefault="00AC06AD" w:rsidP="003F6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6E95">
        <w:rPr>
          <w:rFonts w:ascii="Times New Roman" w:hAnsi="Times New Roman" w:cs="Times New Roman"/>
          <w:sz w:val="27"/>
          <w:szCs w:val="27"/>
        </w:rPr>
        <w:t xml:space="preserve">На </w:t>
      </w:r>
      <w:r w:rsidR="00472657" w:rsidRPr="003F6E95">
        <w:rPr>
          <w:rFonts w:ascii="Times New Roman" w:hAnsi="Times New Roman" w:cs="Times New Roman"/>
          <w:sz w:val="27"/>
          <w:szCs w:val="27"/>
        </w:rPr>
        <w:t>рисунке 10</w:t>
      </w:r>
      <w:r w:rsidRPr="003F6E95">
        <w:rPr>
          <w:rFonts w:ascii="Times New Roman" w:hAnsi="Times New Roman" w:cs="Times New Roman"/>
          <w:sz w:val="27"/>
          <w:szCs w:val="27"/>
        </w:rPr>
        <w:t xml:space="preserve"> можно видеть </w:t>
      </w:r>
      <w:r w:rsidR="00A735AF" w:rsidRPr="003F6E95">
        <w:rPr>
          <w:rFonts w:ascii="Times New Roman" w:hAnsi="Times New Roman" w:cs="Times New Roman"/>
          <w:sz w:val="27"/>
          <w:szCs w:val="27"/>
        </w:rPr>
        <w:t xml:space="preserve">увеличение показателя CVAR </w:t>
      </w:r>
      <w:r w:rsidRPr="003F6E95">
        <w:rPr>
          <w:rFonts w:ascii="Times New Roman" w:hAnsi="Times New Roman" w:cs="Times New Roman"/>
          <w:sz w:val="27"/>
          <w:szCs w:val="27"/>
        </w:rPr>
        <w:t xml:space="preserve">почти в 1,5 раза. </w:t>
      </w:r>
      <w:r w:rsidR="00A735AF" w:rsidRPr="003F6E95">
        <w:rPr>
          <w:rFonts w:ascii="Times New Roman" w:hAnsi="Times New Roman" w:cs="Times New Roman"/>
          <w:sz w:val="27"/>
          <w:szCs w:val="27"/>
        </w:rPr>
        <w:t>Такой р</w:t>
      </w:r>
      <w:r w:rsidRPr="003F6E95">
        <w:rPr>
          <w:rFonts w:ascii="Times New Roman" w:hAnsi="Times New Roman" w:cs="Times New Roman"/>
          <w:sz w:val="27"/>
          <w:szCs w:val="27"/>
        </w:rPr>
        <w:t xml:space="preserve">ост во второй половине 2014 года </w:t>
      </w:r>
      <w:r w:rsidR="00BB6108" w:rsidRPr="003F6E95">
        <w:rPr>
          <w:rFonts w:ascii="Times New Roman" w:hAnsi="Times New Roman" w:cs="Times New Roman"/>
          <w:sz w:val="27"/>
          <w:szCs w:val="27"/>
        </w:rPr>
        <w:t xml:space="preserve">во многом связан с </w:t>
      </w:r>
      <w:r w:rsidRPr="003F6E95">
        <w:rPr>
          <w:rFonts w:ascii="Times New Roman" w:hAnsi="Times New Roman" w:cs="Times New Roman"/>
          <w:sz w:val="27"/>
          <w:szCs w:val="27"/>
        </w:rPr>
        <w:t>пересмотром рейтингов Российской Федерации международными рейтинговыми агентствами и</w:t>
      </w:r>
      <w:r w:rsidR="00A735AF" w:rsidRPr="003F6E95">
        <w:rPr>
          <w:rFonts w:ascii="Times New Roman" w:hAnsi="Times New Roman" w:cs="Times New Roman"/>
          <w:sz w:val="27"/>
          <w:szCs w:val="27"/>
        </w:rPr>
        <w:t>,</w:t>
      </w:r>
      <w:r w:rsidRPr="003F6E95">
        <w:rPr>
          <w:rFonts w:ascii="Times New Roman" w:hAnsi="Times New Roman" w:cs="Times New Roman"/>
          <w:sz w:val="27"/>
          <w:szCs w:val="27"/>
        </w:rPr>
        <w:t xml:space="preserve"> как следствие</w:t>
      </w:r>
      <w:r w:rsidR="00A735AF" w:rsidRPr="003F6E95">
        <w:rPr>
          <w:rFonts w:ascii="Times New Roman" w:hAnsi="Times New Roman" w:cs="Times New Roman"/>
          <w:sz w:val="27"/>
          <w:szCs w:val="27"/>
        </w:rPr>
        <w:t>,</w:t>
      </w:r>
      <w:r w:rsidRPr="003F6E95">
        <w:rPr>
          <w:rFonts w:ascii="Times New Roman" w:hAnsi="Times New Roman" w:cs="Times New Roman"/>
          <w:sz w:val="27"/>
          <w:szCs w:val="27"/>
        </w:rPr>
        <w:t xml:space="preserve"> снижение</w:t>
      </w:r>
      <w:r w:rsidR="00BB6108" w:rsidRPr="003F6E95">
        <w:rPr>
          <w:rFonts w:ascii="Times New Roman" w:hAnsi="Times New Roman" w:cs="Times New Roman"/>
          <w:sz w:val="27"/>
          <w:szCs w:val="27"/>
        </w:rPr>
        <w:t>м</w:t>
      </w:r>
      <w:r w:rsidRPr="003F6E95">
        <w:rPr>
          <w:rFonts w:ascii="Times New Roman" w:hAnsi="Times New Roman" w:cs="Times New Roman"/>
          <w:sz w:val="27"/>
          <w:szCs w:val="27"/>
        </w:rPr>
        <w:t xml:space="preserve"> рейтинг</w:t>
      </w:r>
      <w:r w:rsidR="00BB6108" w:rsidRPr="003F6E95">
        <w:rPr>
          <w:rFonts w:ascii="Times New Roman" w:hAnsi="Times New Roman" w:cs="Times New Roman"/>
          <w:sz w:val="27"/>
          <w:szCs w:val="27"/>
        </w:rPr>
        <w:t>ов</w:t>
      </w:r>
      <w:r w:rsidRPr="003F6E95">
        <w:rPr>
          <w:rFonts w:ascii="Times New Roman" w:hAnsi="Times New Roman" w:cs="Times New Roman"/>
          <w:sz w:val="27"/>
          <w:szCs w:val="27"/>
        </w:rPr>
        <w:t xml:space="preserve"> кредитных организаций России.  </w:t>
      </w:r>
    </w:p>
    <w:p w:rsidR="001C1E43" w:rsidRPr="003F6E95" w:rsidRDefault="001C1E43" w:rsidP="003F6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432B7" w:rsidRPr="003F6E95" w:rsidRDefault="001C1E43" w:rsidP="003F6E95">
      <w:pPr>
        <w:pStyle w:val="2"/>
        <w:keepNext w:val="0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7"/>
          <w:szCs w:val="27"/>
        </w:rPr>
      </w:pPr>
      <w:bookmarkStart w:id="0" w:name="_GoBack"/>
      <w:r w:rsidRPr="003F6E95">
        <w:rPr>
          <w:rFonts w:ascii="Times New Roman" w:hAnsi="Times New Roman" w:cs="Times New Roman"/>
          <w:b/>
          <w:color w:val="auto"/>
          <w:sz w:val="27"/>
          <w:szCs w:val="27"/>
        </w:rPr>
        <w:t>Основные задачи, возникающие</w:t>
      </w:r>
      <w:r w:rsidR="009F5E2F" w:rsidRPr="003F6E95">
        <w:rPr>
          <w:rFonts w:ascii="Times New Roman" w:hAnsi="Times New Roman" w:cs="Times New Roman"/>
          <w:b/>
          <w:color w:val="auto"/>
          <w:sz w:val="27"/>
          <w:szCs w:val="27"/>
        </w:rPr>
        <w:t xml:space="preserve"> </w:t>
      </w:r>
      <w:r w:rsidR="00CE4D89" w:rsidRPr="003F6E95">
        <w:rPr>
          <w:rFonts w:ascii="Times New Roman" w:hAnsi="Times New Roman" w:cs="Times New Roman"/>
          <w:b/>
          <w:color w:val="auto"/>
          <w:sz w:val="27"/>
          <w:szCs w:val="27"/>
        </w:rPr>
        <w:t xml:space="preserve">перед Фондами </w:t>
      </w:r>
      <w:r w:rsidR="009F5E2F" w:rsidRPr="003F6E95">
        <w:rPr>
          <w:rFonts w:ascii="Times New Roman" w:hAnsi="Times New Roman" w:cs="Times New Roman"/>
          <w:b/>
          <w:color w:val="auto"/>
          <w:sz w:val="27"/>
          <w:szCs w:val="27"/>
        </w:rPr>
        <w:t>в процессе инвестирования пенсионных средств</w:t>
      </w:r>
      <w:r w:rsidR="008432B7" w:rsidRPr="003F6E95">
        <w:rPr>
          <w:rFonts w:ascii="Times New Roman" w:hAnsi="Times New Roman" w:cs="Times New Roman"/>
          <w:b/>
          <w:color w:val="auto"/>
          <w:sz w:val="27"/>
          <w:szCs w:val="27"/>
        </w:rPr>
        <w:t xml:space="preserve"> в условиях кризиса</w:t>
      </w:r>
    </w:p>
    <w:bookmarkEnd w:id="0"/>
    <w:p w:rsidR="001C1E43" w:rsidRPr="003F6E95" w:rsidRDefault="001C1E43" w:rsidP="003F6E95">
      <w:pPr>
        <w:spacing w:after="0" w:line="360" w:lineRule="auto"/>
        <w:ind w:firstLine="709"/>
        <w:jc w:val="both"/>
        <w:rPr>
          <w:sz w:val="27"/>
          <w:szCs w:val="27"/>
        </w:rPr>
      </w:pPr>
    </w:p>
    <w:p w:rsidR="00A20659" w:rsidRPr="003F6E95" w:rsidRDefault="00BB6AEB" w:rsidP="003F6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6E95">
        <w:rPr>
          <w:rFonts w:ascii="Times New Roman" w:hAnsi="Times New Roman" w:cs="Times New Roman"/>
          <w:sz w:val="27"/>
          <w:szCs w:val="27"/>
        </w:rPr>
        <w:t xml:space="preserve">С целью соблюдения принципов </w:t>
      </w:r>
      <w:r w:rsidR="004E1FAA" w:rsidRPr="003F6E95">
        <w:rPr>
          <w:rFonts w:ascii="Times New Roman" w:hAnsi="Times New Roman" w:cs="Times New Roman"/>
          <w:sz w:val="27"/>
          <w:szCs w:val="27"/>
        </w:rPr>
        <w:t xml:space="preserve">инвестирования пенсионных накоплений </w:t>
      </w:r>
      <w:r w:rsidR="00110604" w:rsidRPr="003F6E95">
        <w:rPr>
          <w:rFonts w:ascii="Times New Roman" w:hAnsi="Times New Roman" w:cs="Times New Roman"/>
          <w:sz w:val="27"/>
          <w:szCs w:val="27"/>
        </w:rPr>
        <w:t xml:space="preserve"> и размещения пенсионных резервов </w:t>
      </w:r>
      <w:r w:rsidR="004E1FAA" w:rsidRPr="003F6E95">
        <w:rPr>
          <w:rFonts w:ascii="Times New Roman" w:hAnsi="Times New Roman" w:cs="Times New Roman"/>
          <w:sz w:val="27"/>
          <w:szCs w:val="27"/>
        </w:rPr>
        <w:t>в</w:t>
      </w:r>
      <w:r w:rsidRPr="003F6E95">
        <w:rPr>
          <w:rFonts w:ascii="Times New Roman" w:hAnsi="Times New Roman" w:cs="Times New Roman"/>
          <w:sz w:val="27"/>
          <w:szCs w:val="27"/>
        </w:rPr>
        <w:t xml:space="preserve"> условиях кризиса, перед Фондами возникают следующие </w:t>
      </w:r>
      <w:r w:rsidR="0076212E" w:rsidRPr="003F6E95">
        <w:rPr>
          <w:rFonts w:ascii="Times New Roman" w:hAnsi="Times New Roman" w:cs="Times New Roman"/>
          <w:sz w:val="27"/>
          <w:szCs w:val="27"/>
        </w:rPr>
        <w:t xml:space="preserve">основные </w:t>
      </w:r>
      <w:r w:rsidRPr="003F6E95">
        <w:rPr>
          <w:rFonts w:ascii="Times New Roman" w:hAnsi="Times New Roman" w:cs="Times New Roman"/>
          <w:sz w:val="27"/>
          <w:szCs w:val="27"/>
        </w:rPr>
        <w:t>задачи:</w:t>
      </w:r>
    </w:p>
    <w:p w:rsidR="00B621E1" w:rsidRPr="003F6E95" w:rsidRDefault="00B621E1" w:rsidP="003F6E95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3F6E95">
        <w:rPr>
          <w:rFonts w:ascii="Times New Roman" w:hAnsi="Times New Roman" w:cs="Times New Roman"/>
          <w:sz w:val="27"/>
          <w:szCs w:val="27"/>
        </w:rPr>
        <w:t>увеличение кредитного качества долговых финансовых инструментов инвестиционного портфеля;</w:t>
      </w:r>
    </w:p>
    <w:p w:rsidR="00B621E1" w:rsidRPr="003F6E95" w:rsidRDefault="00B621E1" w:rsidP="003F6E95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3F6E95">
        <w:rPr>
          <w:rFonts w:ascii="Times New Roman" w:hAnsi="Times New Roman" w:cs="Times New Roman"/>
          <w:sz w:val="27"/>
          <w:szCs w:val="27"/>
        </w:rPr>
        <w:t>формирование достаточной «подушки» ликвидности, для обеспечения непрерывной деятельности Фонда (без необходимости реализации неликвидных активов</w:t>
      </w:r>
      <w:r w:rsidR="009234BF" w:rsidRPr="003F6E95">
        <w:rPr>
          <w:rFonts w:ascii="Times New Roman" w:hAnsi="Times New Roman" w:cs="Times New Roman"/>
          <w:sz w:val="27"/>
          <w:szCs w:val="27"/>
        </w:rPr>
        <w:t xml:space="preserve"> на падающем рынке</w:t>
      </w:r>
      <w:r w:rsidRPr="003F6E95">
        <w:rPr>
          <w:rFonts w:ascii="Times New Roman" w:hAnsi="Times New Roman" w:cs="Times New Roman"/>
          <w:sz w:val="27"/>
          <w:szCs w:val="27"/>
        </w:rPr>
        <w:t>).</w:t>
      </w:r>
    </w:p>
    <w:p w:rsidR="009F5E2F" w:rsidRPr="003F6E95" w:rsidRDefault="007868A1" w:rsidP="003F6E95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3F6E95">
        <w:rPr>
          <w:rFonts w:ascii="Times New Roman" w:hAnsi="Times New Roman" w:cs="Times New Roman"/>
          <w:sz w:val="27"/>
          <w:szCs w:val="27"/>
        </w:rPr>
        <w:t>и</w:t>
      </w:r>
      <w:r w:rsidR="009F7456" w:rsidRPr="003F6E95">
        <w:rPr>
          <w:rFonts w:ascii="Times New Roman" w:hAnsi="Times New Roman" w:cs="Times New Roman"/>
          <w:sz w:val="27"/>
          <w:szCs w:val="27"/>
        </w:rPr>
        <w:t>ммуниз</w:t>
      </w:r>
      <w:r w:rsidR="00B02CB5" w:rsidRPr="003F6E95">
        <w:rPr>
          <w:rFonts w:ascii="Times New Roman" w:hAnsi="Times New Roman" w:cs="Times New Roman"/>
          <w:sz w:val="27"/>
          <w:szCs w:val="27"/>
        </w:rPr>
        <w:t>ация</w:t>
      </w:r>
      <w:r w:rsidR="009F7456" w:rsidRPr="003F6E95">
        <w:rPr>
          <w:rFonts w:ascii="Times New Roman" w:hAnsi="Times New Roman" w:cs="Times New Roman"/>
          <w:sz w:val="27"/>
          <w:szCs w:val="27"/>
        </w:rPr>
        <w:t xml:space="preserve"> портфел</w:t>
      </w:r>
      <w:r w:rsidR="00B02CB5" w:rsidRPr="003F6E95">
        <w:rPr>
          <w:rFonts w:ascii="Times New Roman" w:hAnsi="Times New Roman" w:cs="Times New Roman"/>
          <w:sz w:val="27"/>
          <w:szCs w:val="27"/>
        </w:rPr>
        <w:t>я долговы</w:t>
      </w:r>
      <w:r w:rsidR="00A20659" w:rsidRPr="003F6E95">
        <w:rPr>
          <w:rFonts w:ascii="Times New Roman" w:hAnsi="Times New Roman" w:cs="Times New Roman"/>
          <w:sz w:val="27"/>
          <w:szCs w:val="27"/>
        </w:rPr>
        <w:t>х</w:t>
      </w:r>
      <w:r w:rsidR="00B02CB5" w:rsidRPr="003F6E95">
        <w:rPr>
          <w:rFonts w:ascii="Times New Roman" w:hAnsi="Times New Roman" w:cs="Times New Roman"/>
          <w:sz w:val="27"/>
          <w:szCs w:val="27"/>
        </w:rPr>
        <w:t xml:space="preserve"> ценных бумаг </w:t>
      </w:r>
      <w:r w:rsidR="009F7456" w:rsidRPr="003F6E95">
        <w:rPr>
          <w:rFonts w:ascii="Times New Roman" w:hAnsi="Times New Roman" w:cs="Times New Roman"/>
          <w:sz w:val="27"/>
          <w:szCs w:val="27"/>
        </w:rPr>
        <w:t>согласно</w:t>
      </w:r>
      <w:r w:rsidR="00B02CB5" w:rsidRPr="003F6E95">
        <w:rPr>
          <w:rFonts w:ascii="Times New Roman" w:hAnsi="Times New Roman" w:cs="Times New Roman"/>
          <w:sz w:val="27"/>
          <w:szCs w:val="27"/>
        </w:rPr>
        <w:t xml:space="preserve"> выбранному</w:t>
      </w:r>
      <w:r w:rsidR="009F7456" w:rsidRPr="003F6E95">
        <w:rPr>
          <w:rFonts w:ascii="Times New Roman" w:hAnsi="Times New Roman" w:cs="Times New Roman"/>
          <w:sz w:val="27"/>
          <w:szCs w:val="27"/>
        </w:rPr>
        <w:t xml:space="preserve"> инвестиционному горизонту</w:t>
      </w:r>
      <w:r w:rsidR="00A20659" w:rsidRPr="003F6E95">
        <w:rPr>
          <w:rFonts w:ascii="Times New Roman" w:hAnsi="Times New Roman" w:cs="Times New Roman"/>
          <w:sz w:val="27"/>
          <w:szCs w:val="27"/>
        </w:rPr>
        <w:t>;</w:t>
      </w:r>
    </w:p>
    <w:p w:rsidR="00B621E1" w:rsidRPr="003F6E95" w:rsidRDefault="00787E11" w:rsidP="003F6E95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3F6E95">
        <w:rPr>
          <w:rFonts w:ascii="Times New Roman" w:hAnsi="Times New Roman" w:cs="Times New Roman"/>
          <w:sz w:val="27"/>
          <w:szCs w:val="27"/>
        </w:rPr>
        <w:t>формирование</w:t>
      </w:r>
      <w:r w:rsidR="00B621E1" w:rsidRPr="003F6E95">
        <w:rPr>
          <w:rFonts w:ascii="Times New Roman" w:hAnsi="Times New Roman" w:cs="Times New Roman"/>
          <w:sz w:val="27"/>
          <w:szCs w:val="27"/>
        </w:rPr>
        <w:t xml:space="preserve"> </w:t>
      </w:r>
      <w:r w:rsidRPr="003F6E95">
        <w:rPr>
          <w:rFonts w:ascii="Times New Roman" w:hAnsi="Times New Roman" w:cs="Times New Roman"/>
          <w:sz w:val="27"/>
          <w:szCs w:val="27"/>
        </w:rPr>
        <w:t>доли активов чувствительных к изменению фондовых индексов, с учетом компенсации возможных убытков (согласно стрессовы</w:t>
      </w:r>
      <w:r w:rsidR="00632DAC" w:rsidRPr="003F6E95">
        <w:rPr>
          <w:rFonts w:ascii="Times New Roman" w:hAnsi="Times New Roman" w:cs="Times New Roman"/>
          <w:sz w:val="27"/>
          <w:szCs w:val="27"/>
        </w:rPr>
        <w:t>м</w:t>
      </w:r>
      <w:r w:rsidRPr="003F6E95">
        <w:rPr>
          <w:rFonts w:ascii="Times New Roman" w:hAnsi="Times New Roman" w:cs="Times New Roman"/>
          <w:sz w:val="27"/>
          <w:szCs w:val="27"/>
        </w:rPr>
        <w:t xml:space="preserve"> сценари</w:t>
      </w:r>
      <w:r w:rsidR="00632DAC" w:rsidRPr="003F6E95">
        <w:rPr>
          <w:rFonts w:ascii="Times New Roman" w:hAnsi="Times New Roman" w:cs="Times New Roman"/>
          <w:sz w:val="27"/>
          <w:szCs w:val="27"/>
        </w:rPr>
        <w:t>ям</w:t>
      </w:r>
      <w:r w:rsidRPr="003F6E95">
        <w:rPr>
          <w:rFonts w:ascii="Times New Roman" w:hAnsi="Times New Roman" w:cs="Times New Roman"/>
          <w:sz w:val="27"/>
          <w:szCs w:val="27"/>
        </w:rPr>
        <w:t xml:space="preserve"> поведения индексов) доходом от инструментов не подверженным (напрямую) фондовым рискам;</w:t>
      </w:r>
    </w:p>
    <w:p w:rsidR="003E5208" w:rsidRPr="003F6E95" w:rsidRDefault="00B621E1" w:rsidP="003F6E95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3F6E95">
        <w:rPr>
          <w:rFonts w:ascii="Times New Roman" w:hAnsi="Times New Roman" w:cs="Times New Roman"/>
          <w:sz w:val="27"/>
          <w:szCs w:val="27"/>
        </w:rPr>
        <w:t>уменьшение концентрации активов в секторах экономики в большей степени подверженных рецессии;</w:t>
      </w:r>
    </w:p>
    <w:p w:rsidR="003E5208" w:rsidRPr="003F6E95" w:rsidRDefault="009234BF" w:rsidP="003F6E95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3F6E95">
        <w:rPr>
          <w:rFonts w:ascii="Times New Roman" w:hAnsi="Times New Roman" w:cs="Times New Roman"/>
          <w:sz w:val="27"/>
          <w:szCs w:val="27"/>
        </w:rPr>
        <w:t>диверсификация активов по отраслям и эмитентам</w:t>
      </w:r>
      <w:r w:rsidR="003E5208" w:rsidRPr="003F6E95">
        <w:rPr>
          <w:rFonts w:ascii="Times New Roman" w:hAnsi="Times New Roman" w:cs="Times New Roman"/>
          <w:sz w:val="27"/>
          <w:szCs w:val="27"/>
        </w:rPr>
        <w:t>;</w:t>
      </w:r>
    </w:p>
    <w:p w:rsidR="00787E11" w:rsidRPr="003F6E95" w:rsidRDefault="003E5208" w:rsidP="003F6E95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3F6E95">
        <w:rPr>
          <w:rFonts w:ascii="Times New Roman" w:hAnsi="Times New Roman" w:cs="Times New Roman"/>
          <w:sz w:val="27"/>
          <w:szCs w:val="27"/>
        </w:rPr>
        <w:t xml:space="preserve">непрерывный </w:t>
      </w:r>
      <w:r w:rsidR="00787E11" w:rsidRPr="003F6E95">
        <w:rPr>
          <w:rFonts w:ascii="Times New Roman" w:hAnsi="Times New Roman" w:cs="Times New Roman"/>
          <w:sz w:val="27"/>
          <w:szCs w:val="27"/>
        </w:rPr>
        <w:t xml:space="preserve">мониторинг </w:t>
      </w:r>
      <w:r w:rsidRPr="003F6E95">
        <w:rPr>
          <w:rFonts w:ascii="Times New Roman" w:hAnsi="Times New Roman" w:cs="Times New Roman"/>
          <w:sz w:val="27"/>
          <w:szCs w:val="27"/>
        </w:rPr>
        <w:t>уровня риска инвестиционного портфеля;</w:t>
      </w:r>
      <w:r w:rsidR="00787E11" w:rsidRPr="003F6E9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621E1" w:rsidRPr="003F6E95" w:rsidRDefault="00B621E1" w:rsidP="003F6E95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3F6E95">
        <w:rPr>
          <w:rFonts w:ascii="Times New Roman" w:hAnsi="Times New Roman" w:cs="Times New Roman"/>
          <w:sz w:val="27"/>
          <w:szCs w:val="27"/>
        </w:rPr>
        <w:t xml:space="preserve">регулярное проведение встреч с </w:t>
      </w:r>
      <w:r w:rsidR="00787E11" w:rsidRPr="003F6E95">
        <w:rPr>
          <w:rFonts w:ascii="Times New Roman" w:hAnsi="Times New Roman" w:cs="Times New Roman"/>
          <w:sz w:val="27"/>
          <w:szCs w:val="27"/>
        </w:rPr>
        <w:t xml:space="preserve">представителями </w:t>
      </w:r>
      <w:r w:rsidRPr="003F6E95">
        <w:rPr>
          <w:rFonts w:ascii="Times New Roman" w:hAnsi="Times New Roman" w:cs="Times New Roman"/>
          <w:sz w:val="27"/>
          <w:szCs w:val="27"/>
        </w:rPr>
        <w:t>управляющи</w:t>
      </w:r>
      <w:r w:rsidR="00787E11" w:rsidRPr="003F6E95">
        <w:rPr>
          <w:rFonts w:ascii="Times New Roman" w:hAnsi="Times New Roman" w:cs="Times New Roman"/>
          <w:sz w:val="27"/>
          <w:szCs w:val="27"/>
        </w:rPr>
        <w:t>х компаний</w:t>
      </w:r>
      <w:r w:rsidRPr="003F6E95">
        <w:rPr>
          <w:rFonts w:ascii="Times New Roman" w:hAnsi="Times New Roman" w:cs="Times New Roman"/>
          <w:sz w:val="27"/>
          <w:szCs w:val="27"/>
        </w:rPr>
        <w:t>, с целью формирования един</w:t>
      </w:r>
      <w:r w:rsidR="00787E11" w:rsidRPr="003F6E95">
        <w:rPr>
          <w:rFonts w:ascii="Times New Roman" w:hAnsi="Times New Roman" w:cs="Times New Roman"/>
          <w:sz w:val="27"/>
          <w:szCs w:val="27"/>
        </w:rPr>
        <w:t>ых</w:t>
      </w:r>
      <w:r w:rsidRPr="003F6E95">
        <w:rPr>
          <w:rFonts w:ascii="Times New Roman" w:hAnsi="Times New Roman" w:cs="Times New Roman"/>
          <w:sz w:val="27"/>
          <w:szCs w:val="27"/>
        </w:rPr>
        <w:t xml:space="preserve"> </w:t>
      </w:r>
      <w:r w:rsidR="00787E11" w:rsidRPr="003F6E95">
        <w:rPr>
          <w:rFonts w:ascii="Times New Roman" w:hAnsi="Times New Roman" w:cs="Times New Roman"/>
          <w:sz w:val="27"/>
          <w:szCs w:val="27"/>
        </w:rPr>
        <w:t xml:space="preserve">подходов к управлению рисками, </w:t>
      </w:r>
      <w:r w:rsidR="003E5208" w:rsidRPr="003F6E95">
        <w:rPr>
          <w:rFonts w:ascii="Times New Roman" w:hAnsi="Times New Roman" w:cs="Times New Roman"/>
          <w:sz w:val="27"/>
          <w:szCs w:val="27"/>
        </w:rPr>
        <w:t xml:space="preserve">обсуждения </w:t>
      </w:r>
      <w:r w:rsidR="00787E11" w:rsidRPr="003F6E95">
        <w:rPr>
          <w:rFonts w:ascii="Times New Roman" w:hAnsi="Times New Roman" w:cs="Times New Roman"/>
          <w:sz w:val="27"/>
          <w:szCs w:val="27"/>
        </w:rPr>
        <w:t>инвестиционной стратегии</w:t>
      </w:r>
      <w:r w:rsidR="00632DAC" w:rsidRPr="003F6E95">
        <w:rPr>
          <w:rFonts w:ascii="Times New Roman" w:hAnsi="Times New Roman" w:cs="Times New Roman"/>
          <w:sz w:val="27"/>
          <w:szCs w:val="27"/>
        </w:rPr>
        <w:t>,</w:t>
      </w:r>
      <w:r w:rsidR="00787E11" w:rsidRPr="003F6E95">
        <w:rPr>
          <w:rFonts w:ascii="Times New Roman" w:hAnsi="Times New Roman" w:cs="Times New Roman"/>
          <w:sz w:val="27"/>
          <w:szCs w:val="27"/>
        </w:rPr>
        <w:t xml:space="preserve"> </w:t>
      </w:r>
      <w:r w:rsidR="00632DAC" w:rsidRPr="003F6E95">
        <w:rPr>
          <w:rFonts w:ascii="Times New Roman" w:hAnsi="Times New Roman" w:cs="Times New Roman"/>
          <w:sz w:val="27"/>
          <w:szCs w:val="27"/>
        </w:rPr>
        <w:t xml:space="preserve">текущих </w:t>
      </w:r>
      <w:r w:rsidR="00787E11" w:rsidRPr="003F6E95">
        <w:rPr>
          <w:rFonts w:ascii="Times New Roman" w:hAnsi="Times New Roman" w:cs="Times New Roman"/>
          <w:sz w:val="27"/>
          <w:szCs w:val="27"/>
        </w:rPr>
        <w:t xml:space="preserve">и </w:t>
      </w:r>
      <w:r w:rsidR="00632DAC" w:rsidRPr="003F6E95">
        <w:rPr>
          <w:rFonts w:ascii="Times New Roman" w:hAnsi="Times New Roman" w:cs="Times New Roman"/>
          <w:sz w:val="27"/>
          <w:szCs w:val="27"/>
        </w:rPr>
        <w:t>будущих</w:t>
      </w:r>
      <w:r w:rsidR="003E5208" w:rsidRPr="003F6E95">
        <w:rPr>
          <w:rFonts w:ascii="Times New Roman" w:hAnsi="Times New Roman" w:cs="Times New Roman"/>
          <w:sz w:val="27"/>
          <w:szCs w:val="27"/>
        </w:rPr>
        <w:t xml:space="preserve"> задач.</w:t>
      </w:r>
    </w:p>
    <w:p w:rsidR="000A0491" w:rsidRPr="003F6E95" w:rsidRDefault="00F41035" w:rsidP="003F6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6E95">
        <w:rPr>
          <w:rFonts w:ascii="Times New Roman" w:hAnsi="Times New Roman" w:cs="Times New Roman"/>
          <w:sz w:val="27"/>
          <w:szCs w:val="27"/>
        </w:rPr>
        <w:lastRenderedPageBreak/>
        <w:t xml:space="preserve">Поскольку </w:t>
      </w:r>
      <w:proofErr w:type="spellStart"/>
      <w:r w:rsidRPr="003F6E95">
        <w:rPr>
          <w:rFonts w:ascii="Times New Roman" w:hAnsi="Times New Roman" w:cs="Times New Roman"/>
          <w:sz w:val="27"/>
          <w:szCs w:val="27"/>
        </w:rPr>
        <w:t>аллокация</w:t>
      </w:r>
      <w:proofErr w:type="spellEnd"/>
      <w:r w:rsidRPr="003F6E95">
        <w:rPr>
          <w:rFonts w:ascii="Times New Roman" w:hAnsi="Times New Roman" w:cs="Times New Roman"/>
          <w:sz w:val="27"/>
          <w:szCs w:val="27"/>
        </w:rPr>
        <w:t xml:space="preserve"> активов в условиях кризиса </w:t>
      </w:r>
      <w:proofErr w:type="gramStart"/>
      <w:r w:rsidRPr="003F6E95">
        <w:rPr>
          <w:rFonts w:ascii="Times New Roman" w:hAnsi="Times New Roman" w:cs="Times New Roman"/>
          <w:sz w:val="27"/>
          <w:szCs w:val="27"/>
        </w:rPr>
        <w:t>затруднительна</w:t>
      </w:r>
      <w:proofErr w:type="gramEnd"/>
      <w:r w:rsidRPr="003F6E95">
        <w:rPr>
          <w:rFonts w:ascii="Times New Roman" w:hAnsi="Times New Roman" w:cs="Times New Roman"/>
          <w:sz w:val="27"/>
          <w:szCs w:val="27"/>
        </w:rPr>
        <w:t>, о</w:t>
      </w:r>
      <w:r w:rsidR="001733FC" w:rsidRPr="003F6E95">
        <w:rPr>
          <w:rFonts w:ascii="Times New Roman" w:hAnsi="Times New Roman" w:cs="Times New Roman"/>
          <w:sz w:val="27"/>
          <w:szCs w:val="27"/>
        </w:rPr>
        <w:t>дной из важнейших задач для Фондов является заблаговременное выявление признаков рецессии</w:t>
      </w:r>
      <w:r w:rsidRPr="003F6E95">
        <w:rPr>
          <w:rFonts w:ascii="Times New Roman" w:hAnsi="Times New Roman" w:cs="Times New Roman"/>
          <w:sz w:val="27"/>
          <w:szCs w:val="27"/>
        </w:rPr>
        <w:t>, регулярное проведение стресс тестов</w:t>
      </w:r>
      <w:r w:rsidR="000A0491" w:rsidRPr="003F6E95">
        <w:rPr>
          <w:rFonts w:ascii="Times New Roman" w:hAnsi="Times New Roman" w:cs="Times New Roman"/>
          <w:sz w:val="27"/>
          <w:szCs w:val="27"/>
        </w:rPr>
        <w:t>.</w:t>
      </w:r>
      <w:r w:rsidRPr="003F6E95">
        <w:rPr>
          <w:rFonts w:ascii="Times New Roman" w:hAnsi="Times New Roman" w:cs="Times New Roman"/>
          <w:sz w:val="27"/>
          <w:szCs w:val="27"/>
        </w:rPr>
        <w:t xml:space="preserve"> </w:t>
      </w:r>
      <w:r w:rsidR="001733FC" w:rsidRPr="003F6E9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C1E43" w:rsidRPr="003F6E95" w:rsidRDefault="001C1E43" w:rsidP="003F6E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CE4D89" w:rsidRPr="003F6E95" w:rsidRDefault="001C1E43" w:rsidP="003F6E95">
      <w:pPr>
        <w:pStyle w:val="2"/>
        <w:keepNext w:val="0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7"/>
          <w:szCs w:val="27"/>
        </w:rPr>
      </w:pPr>
      <w:r w:rsidRPr="003F6E95">
        <w:rPr>
          <w:rFonts w:ascii="Times New Roman" w:hAnsi="Times New Roman" w:cs="Times New Roman"/>
          <w:b/>
          <w:color w:val="auto"/>
          <w:sz w:val="27"/>
          <w:szCs w:val="27"/>
        </w:rPr>
        <w:t>Основные инструменты</w:t>
      </w:r>
      <w:r w:rsidR="00216EC9" w:rsidRPr="003F6E95">
        <w:rPr>
          <w:rFonts w:ascii="Times New Roman" w:hAnsi="Times New Roman" w:cs="Times New Roman"/>
          <w:b/>
          <w:color w:val="auto"/>
          <w:sz w:val="27"/>
          <w:szCs w:val="27"/>
        </w:rPr>
        <w:t xml:space="preserve"> </w:t>
      </w:r>
      <w:r w:rsidR="003A716D" w:rsidRPr="003F6E95">
        <w:rPr>
          <w:rFonts w:ascii="Times New Roman" w:hAnsi="Times New Roman" w:cs="Times New Roman"/>
          <w:b/>
          <w:color w:val="auto"/>
          <w:sz w:val="27"/>
          <w:szCs w:val="27"/>
        </w:rPr>
        <w:t>решени</w:t>
      </w:r>
      <w:r w:rsidR="00216EC9" w:rsidRPr="003F6E95">
        <w:rPr>
          <w:rFonts w:ascii="Times New Roman" w:hAnsi="Times New Roman" w:cs="Times New Roman"/>
          <w:b/>
          <w:color w:val="auto"/>
          <w:sz w:val="27"/>
          <w:szCs w:val="27"/>
        </w:rPr>
        <w:t>я</w:t>
      </w:r>
      <w:r w:rsidR="003A716D" w:rsidRPr="003F6E95">
        <w:rPr>
          <w:rFonts w:ascii="Times New Roman" w:hAnsi="Times New Roman" w:cs="Times New Roman"/>
          <w:b/>
          <w:color w:val="auto"/>
          <w:sz w:val="27"/>
          <w:szCs w:val="27"/>
        </w:rPr>
        <w:t xml:space="preserve"> задач</w:t>
      </w:r>
      <w:r w:rsidR="007C4B1C" w:rsidRPr="003F6E95">
        <w:rPr>
          <w:rFonts w:ascii="Times New Roman" w:hAnsi="Times New Roman" w:cs="Times New Roman"/>
          <w:b/>
          <w:color w:val="auto"/>
          <w:sz w:val="27"/>
          <w:szCs w:val="27"/>
        </w:rPr>
        <w:t>,</w:t>
      </w:r>
      <w:r w:rsidR="003A716D" w:rsidRPr="003F6E95">
        <w:rPr>
          <w:rFonts w:ascii="Times New Roman" w:hAnsi="Times New Roman" w:cs="Times New Roman"/>
          <w:b/>
          <w:color w:val="auto"/>
          <w:sz w:val="27"/>
          <w:szCs w:val="27"/>
        </w:rPr>
        <w:t xml:space="preserve"> возникающих в процессе инвестирования пенсионных средств </w:t>
      </w:r>
      <w:r w:rsidR="00CE4D89" w:rsidRPr="003F6E95">
        <w:rPr>
          <w:rFonts w:ascii="Times New Roman" w:hAnsi="Times New Roman" w:cs="Times New Roman"/>
          <w:b/>
          <w:color w:val="auto"/>
          <w:sz w:val="27"/>
          <w:szCs w:val="27"/>
        </w:rPr>
        <w:t>в НПФ «</w:t>
      </w:r>
      <w:proofErr w:type="spellStart"/>
      <w:r w:rsidR="00CE4D89" w:rsidRPr="003F6E95">
        <w:rPr>
          <w:rFonts w:ascii="Times New Roman" w:hAnsi="Times New Roman" w:cs="Times New Roman"/>
          <w:b/>
          <w:color w:val="auto"/>
          <w:sz w:val="27"/>
          <w:szCs w:val="27"/>
        </w:rPr>
        <w:t>Атомгарант</w:t>
      </w:r>
      <w:proofErr w:type="spellEnd"/>
      <w:r w:rsidR="00CE4D89" w:rsidRPr="003F6E95">
        <w:rPr>
          <w:rFonts w:ascii="Times New Roman" w:hAnsi="Times New Roman" w:cs="Times New Roman"/>
          <w:b/>
          <w:color w:val="auto"/>
          <w:sz w:val="27"/>
          <w:szCs w:val="27"/>
        </w:rPr>
        <w:t>»</w:t>
      </w:r>
    </w:p>
    <w:p w:rsidR="001C1E43" w:rsidRPr="003F6E95" w:rsidRDefault="001C1E43" w:rsidP="003F6E95">
      <w:pPr>
        <w:spacing w:after="0" w:line="360" w:lineRule="auto"/>
        <w:ind w:firstLine="709"/>
        <w:jc w:val="both"/>
        <w:rPr>
          <w:sz w:val="27"/>
          <w:szCs w:val="27"/>
        </w:rPr>
      </w:pPr>
    </w:p>
    <w:p w:rsidR="00216EC9" w:rsidRPr="003F6E95" w:rsidRDefault="00216EC9" w:rsidP="003F6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6E95">
        <w:rPr>
          <w:rFonts w:ascii="Times New Roman" w:hAnsi="Times New Roman" w:cs="Times New Roman"/>
          <w:sz w:val="27"/>
          <w:szCs w:val="27"/>
        </w:rPr>
        <w:t>Для</w:t>
      </w:r>
      <w:r w:rsidR="00F41035" w:rsidRPr="003F6E95">
        <w:rPr>
          <w:rFonts w:ascii="Times New Roman" w:hAnsi="Times New Roman" w:cs="Times New Roman"/>
          <w:sz w:val="27"/>
          <w:szCs w:val="27"/>
        </w:rPr>
        <w:t xml:space="preserve"> </w:t>
      </w:r>
      <w:r w:rsidR="00031DAD" w:rsidRPr="003F6E95">
        <w:rPr>
          <w:rFonts w:ascii="Times New Roman" w:hAnsi="Times New Roman" w:cs="Times New Roman"/>
          <w:sz w:val="27"/>
          <w:szCs w:val="27"/>
        </w:rPr>
        <w:t>решения задач возникающих в процессе инвестирования</w:t>
      </w:r>
      <w:r w:rsidRPr="003F6E95">
        <w:rPr>
          <w:rFonts w:ascii="Times New Roman" w:hAnsi="Times New Roman" w:cs="Times New Roman"/>
          <w:sz w:val="27"/>
          <w:szCs w:val="27"/>
        </w:rPr>
        <w:t xml:space="preserve"> (в том числе в период кризиса)</w:t>
      </w:r>
      <w:r w:rsidR="00031DAD" w:rsidRPr="003F6E95">
        <w:rPr>
          <w:rFonts w:ascii="Times New Roman" w:hAnsi="Times New Roman" w:cs="Times New Roman"/>
          <w:sz w:val="27"/>
          <w:szCs w:val="27"/>
        </w:rPr>
        <w:t xml:space="preserve">, </w:t>
      </w:r>
      <w:r w:rsidRPr="003F6E95">
        <w:rPr>
          <w:rFonts w:ascii="Times New Roman" w:hAnsi="Times New Roman" w:cs="Times New Roman"/>
          <w:sz w:val="27"/>
          <w:szCs w:val="27"/>
        </w:rPr>
        <w:t>НПФ «</w:t>
      </w:r>
      <w:proofErr w:type="spellStart"/>
      <w:r w:rsidRPr="003F6E95">
        <w:rPr>
          <w:rFonts w:ascii="Times New Roman" w:hAnsi="Times New Roman" w:cs="Times New Roman"/>
          <w:sz w:val="27"/>
          <w:szCs w:val="27"/>
        </w:rPr>
        <w:t>Атомгарант</w:t>
      </w:r>
      <w:proofErr w:type="spellEnd"/>
      <w:r w:rsidRPr="003F6E95">
        <w:rPr>
          <w:rFonts w:ascii="Times New Roman" w:hAnsi="Times New Roman" w:cs="Times New Roman"/>
          <w:sz w:val="27"/>
          <w:szCs w:val="27"/>
        </w:rPr>
        <w:t>»</w:t>
      </w:r>
      <w:r w:rsidR="00182B8F" w:rsidRPr="003F6E95">
        <w:rPr>
          <w:rFonts w:ascii="Times New Roman" w:hAnsi="Times New Roman" w:cs="Times New Roman"/>
          <w:sz w:val="27"/>
          <w:szCs w:val="27"/>
        </w:rPr>
        <w:t xml:space="preserve"> (далее</w:t>
      </w:r>
      <w:r w:rsidR="00876158" w:rsidRPr="003F6E95">
        <w:rPr>
          <w:rFonts w:ascii="Times New Roman" w:hAnsi="Times New Roman" w:cs="Times New Roman"/>
          <w:sz w:val="27"/>
          <w:szCs w:val="27"/>
        </w:rPr>
        <w:t xml:space="preserve"> </w:t>
      </w:r>
      <w:r w:rsidR="00182B8F" w:rsidRPr="003F6E95">
        <w:rPr>
          <w:rFonts w:ascii="Times New Roman" w:hAnsi="Times New Roman" w:cs="Times New Roman"/>
          <w:sz w:val="27"/>
          <w:szCs w:val="27"/>
        </w:rPr>
        <w:t>-  Фонд)</w:t>
      </w:r>
      <w:r w:rsidRPr="003F6E95">
        <w:rPr>
          <w:rFonts w:ascii="Times New Roman" w:hAnsi="Times New Roman" w:cs="Times New Roman"/>
          <w:sz w:val="27"/>
          <w:szCs w:val="27"/>
        </w:rPr>
        <w:t xml:space="preserve"> применяет комплексный подход, который включает:</w:t>
      </w:r>
    </w:p>
    <w:p w:rsidR="007C4B1C" w:rsidRPr="003F6E95" w:rsidRDefault="00216EC9" w:rsidP="003F6E95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3F6E95">
        <w:rPr>
          <w:rFonts w:ascii="Times New Roman" w:hAnsi="Times New Roman" w:cs="Times New Roman"/>
          <w:sz w:val="27"/>
          <w:szCs w:val="27"/>
        </w:rPr>
        <w:t xml:space="preserve">Принятие инвестиционных решений на основе всестороннего анализа рисков </w:t>
      </w:r>
      <w:r w:rsidR="00BC02A0" w:rsidRPr="003F6E95">
        <w:rPr>
          <w:rFonts w:ascii="Times New Roman" w:hAnsi="Times New Roman" w:cs="Times New Roman"/>
          <w:sz w:val="27"/>
          <w:szCs w:val="27"/>
        </w:rPr>
        <w:t>таких</w:t>
      </w:r>
      <w:r w:rsidRPr="003F6E95">
        <w:rPr>
          <w:rFonts w:ascii="Times New Roman" w:hAnsi="Times New Roman" w:cs="Times New Roman"/>
          <w:sz w:val="27"/>
          <w:szCs w:val="27"/>
        </w:rPr>
        <w:t xml:space="preserve"> решений;</w:t>
      </w:r>
    </w:p>
    <w:p w:rsidR="0059090C" w:rsidRPr="003F6E95" w:rsidRDefault="00D3296F" w:rsidP="003F6E95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3F6E95">
        <w:rPr>
          <w:rFonts w:ascii="Times New Roman" w:hAnsi="Times New Roman" w:cs="Times New Roman"/>
          <w:sz w:val="27"/>
          <w:szCs w:val="27"/>
        </w:rPr>
        <w:t>Перед принятием инвестиционных решений, служб</w:t>
      </w:r>
      <w:r w:rsidR="002C3A0C" w:rsidRPr="003F6E95">
        <w:rPr>
          <w:rFonts w:ascii="Times New Roman" w:hAnsi="Times New Roman" w:cs="Times New Roman"/>
          <w:sz w:val="27"/>
          <w:szCs w:val="27"/>
        </w:rPr>
        <w:t>а</w:t>
      </w:r>
      <w:r w:rsidRPr="003F6E95">
        <w:rPr>
          <w:rFonts w:ascii="Times New Roman" w:hAnsi="Times New Roman" w:cs="Times New Roman"/>
          <w:sz w:val="27"/>
          <w:szCs w:val="27"/>
        </w:rPr>
        <w:t xml:space="preserve"> риск-менеджмент Фонда осуществляет оценку возможных рисков так</w:t>
      </w:r>
      <w:r w:rsidR="00075C5E" w:rsidRPr="003F6E95">
        <w:rPr>
          <w:rFonts w:ascii="Times New Roman" w:hAnsi="Times New Roman" w:cs="Times New Roman"/>
          <w:sz w:val="27"/>
          <w:szCs w:val="27"/>
        </w:rPr>
        <w:t>их</w:t>
      </w:r>
      <w:r w:rsidRPr="003F6E95">
        <w:rPr>
          <w:rFonts w:ascii="Times New Roman" w:hAnsi="Times New Roman" w:cs="Times New Roman"/>
          <w:sz w:val="27"/>
          <w:szCs w:val="27"/>
        </w:rPr>
        <w:t xml:space="preserve"> решени</w:t>
      </w:r>
      <w:r w:rsidR="00075C5E" w:rsidRPr="003F6E95">
        <w:rPr>
          <w:rFonts w:ascii="Times New Roman" w:hAnsi="Times New Roman" w:cs="Times New Roman"/>
          <w:sz w:val="27"/>
          <w:szCs w:val="27"/>
        </w:rPr>
        <w:t>й</w:t>
      </w:r>
      <w:r w:rsidRPr="003F6E95">
        <w:rPr>
          <w:rFonts w:ascii="Times New Roman" w:hAnsi="Times New Roman" w:cs="Times New Roman"/>
          <w:sz w:val="27"/>
          <w:szCs w:val="27"/>
        </w:rPr>
        <w:t xml:space="preserve">. </w:t>
      </w:r>
      <w:r w:rsidR="009234BF" w:rsidRPr="003F6E95">
        <w:rPr>
          <w:rFonts w:ascii="Times New Roman" w:hAnsi="Times New Roman" w:cs="Times New Roman"/>
          <w:sz w:val="27"/>
          <w:szCs w:val="27"/>
        </w:rPr>
        <w:t>Риски, связанные с принятием инвестиционных решений обсуждаются н</w:t>
      </w:r>
      <w:r w:rsidRPr="003F6E95">
        <w:rPr>
          <w:rFonts w:ascii="Times New Roman" w:hAnsi="Times New Roman" w:cs="Times New Roman"/>
          <w:sz w:val="27"/>
          <w:szCs w:val="27"/>
        </w:rPr>
        <w:t xml:space="preserve">а </w:t>
      </w:r>
      <w:r w:rsidR="009234BF" w:rsidRPr="003F6E95">
        <w:rPr>
          <w:rFonts w:ascii="Times New Roman" w:hAnsi="Times New Roman" w:cs="Times New Roman"/>
          <w:sz w:val="27"/>
          <w:szCs w:val="27"/>
        </w:rPr>
        <w:t>И</w:t>
      </w:r>
      <w:r w:rsidRPr="003F6E95">
        <w:rPr>
          <w:rFonts w:ascii="Times New Roman" w:hAnsi="Times New Roman" w:cs="Times New Roman"/>
          <w:sz w:val="27"/>
          <w:szCs w:val="27"/>
        </w:rPr>
        <w:t xml:space="preserve">нвестиционном комитете </w:t>
      </w:r>
      <w:r w:rsidR="009234BF" w:rsidRPr="003F6E95">
        <w:rPr>
          <w:rFonts w:ascii="Times New Roman" w:hAnsi="Times New Roman" w:cs="Times New Roman"/>
          <w:sz w:val="27"/>
          <w:szCs w:val="27"/>
        </w:rPr>
        <w:t xml:space="preserve">и при необходимости выносятся на обсуждение Исполнительной дирекции. </w:t>
      </w:r>
    </w:p>
    <w:p w:rsidR="00216EC9" w:rsidRPr="003F6E95" w:rsidRDefault="007F3BAF" w:rsidP="003F6E95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3F6E95">
        <w:rPr>
          <w:rFonts w:ascii="Times New Roman" w:hAnsi="Times New Roman" w:cs="Times New Roman"/>
          <w:sz w:val="27"/>
          <w:szCs w:val="27"/>
        </w:rPr>
        <w:t>Коллегиальное принятие инвестиционных решений;</w:t>
      </w:r>
    </w:p>
    <w:p w:rsidR="00182B8F" w:rsidRPr="003F6E95" w:rsidRDefault="006D22CF" w:rsidP="003F6E95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3F6E95">
        <w:rPr>
          <w:rFonts w:ascii="Times New Roman" w:hAnsi="Times New Roman" w:cs="Times New Roman"/>
          <w:sz w:val="27"/>
          <w:szCs w:val="27"/>
        </w:rPr>
        <w:t>Согласно Уставу Фонда  Исполнительная дирекция утверждает приоритетные направлений размещения средств пенсионных резервов и инвестирования пенсионных накоплений (далее – Приоритетные направления). Все оперативные решения</w:t>
      </w:r>
      <w:r w:rsidR="003D0277" w:rsidRPr="003F6E95">
        <w:rPr>
          <w:rFonts w:ascii="Times New Roman" w:hAnsi="Times New Roman" w:cs="Times New Roman"/>
          <w:sz w:val="27"/>
          <w:szCs w:val="27"/>
        </w:rPr>
        <w:t xml:space="preserve"> по инвестированию пенсионных накоплений и размещению пенсионных резервов</w:t>
      </w:r>
      <w:r w:rsidRPr="003F6E95">
        <w:rPr>
          <w:rFonts w:ascii="Times New Roman" w:hAnsi="Times New Roman" w:cs="Times New Roman"/>
          <w:sz w:val="27"/>
          <w:szCs w:val="27"/>
        </w:rPr>
        <w:t xml:space="preserve"> принимаются коллегиально на заседании Инвестиционного комитета. Инвестиционный комитет принимает решения с учетом Приоритетных направлений</w:t>
      </w:r>
      <w:r w:rsidR="009234BF" w:rsidRPr="003F6E95">
        <w:rPr>
          <w:rFonts w:ascii="Times New Roman" w:hAnsi="Times New Roman" w:cs="Times New Roman"/>
          <w:sz w:val="27"/>
          <w:szCs w:val="27"/>
        </w:rPr>
        <w:t xml:space="preserve"> и рекомендаций службы риск-менеджмент</w:t>
      </w:r>
      <w:r w:rsidRPr="003F6E95">
        <w:rPr>
          <w:rFonts w:ascii="Times New Roman" w:hAnsi="Times New Roman" w:cs="Times New Roman"/>
          <w:sz w:val="27"/>
          <w:szCs w:val="27"/>
        </w:rPr>
        <w:t>. Особые мнения членов Инвестиционного комитета рассматриваются на заседании Исполнительной дирекции.</w:t>
      </w:r>
    </w:p>
    <w:p w:rsidR="00C62053" w:rsidRPr="003F6E95" w:rsidRDefault="00C62053" w:rsidP="003F6E95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3F6E95">
        <w:rPr>
          <w:rFonts w:ascii="Times New Roman" w:hAnsi="Times New Roman" w:cs="Times New Roman"/>
          <w:sz w:val="27"/>
          <w:szCs w:val="27"/>
        </w:rPr>
        <w:t>Коллегиальное принятие решений в процессе управления рисками;</w:t>
      </w:r>
    </w:p>
    <w:p w:rsidR="00876158" w:rsidRPr="003F6E95" w:rsidRDefault="00876158" w:rsidP="003F6E95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3F6E95">
        <w:rPr>
          <w:rFonts w:ascii="Times New Roman" w:hAnsi="Times New Roman" w:cs="Times New Roman"/>
          <w:sz w:val="27"/>
          <w:szCs w:val="27"/>
        </w:rPr>
        <w:t xml:space="preserve">Задачи, возникающие в процессе управления рисками, </w:t>
      </w:r>
      <w:r w:rsidR="00165669" w:rsidRPr="003F6E95">
        <w:rPr>
          <w:rFonts w:ascii="Times New Roman" w:hAnsi="Times New Roman" w:cs="Times New Roman"/>
          <w:sz w:val="27"/>
          <w:szCs w:val="27"/>
        </w:rPr>
        <w:t xml:space="preserve">рассматриваются </w:t>
      </w:r>
      <w:r w:rsidRPr="003F6E95">
        <w:rPr>
          <w:rFonts w:ascii="Times New Roman" w:hAnsi="Times New Roman" w:cs="Times New Roman"/>
          <w:sz w:val="27"/>
          <w:szCs w:val="27"/>
        </w:rPr>
        <w:t>на заседании Инвестиционного комитета</w:t>
      </w:r>
      <w:r w:rsidR="00165669" w:rsidRPr="003F6E95">
        <w:rPr>
          <w:rFonts w:ascii="Times New Roman" w:hAnsi="Times New Roman" w:cs="Times New Roman"/>
          <w:sz w:val="27"/>
          <w:szCs w:val="27"/>
        </w:rPr>
        <w:t xml:space="preserve">. Инвестиционный комитет принимает решения </w:t>
      </w:r>
      <w:r w:rsidRPr="003F6E95">
        <w:rPr>
          <w:rFonts w:ascii="Times New Roman" w:hAnsi="Times New Roman" w:cs="Times New Roman"/>
          <w:sz w:val="27"/>
          <w:szCs w:val="27"/>
        </w:rPr>
        <w:t xml:space="preserve"> с учетом </w:t>
      </w:r>
      <w:r w:rsidR="00165669" w:rsidRPr="003F6E95">
        <w:rPr>
          <w:rFonts w:ascii="Times New Roman" w:hAnsi="Times New Roman" w:cs="Times New Roman"/>
          <w:sz w:val="27"/>
          <w:szCs w:val="27"/>
        </w:rPr>
        <w:t>основных принципов принятия риска</w:t>
      </w:r>
      <w:r w:rsidRPr="003F6E95">
        <w:rPr>
          <w:rFonts w:ascii="Times New Roman" w:hAnsi="Times New Roman" w:cs="Times New Roman"/>
          <w:sz w:val="27"/>
          <w:szCs w:val="27"/>
        </w:rPr>
        <w:t xml:space="preserve"> установленных Исполнительной дирекцией</w:t>
      </w:r>
      <w:r w:rsidR="00165669" w:rsidRPr="003F6E95">
        <w:rPr>
          <w:rFonts w:ascii="Times New Roman" w:hAnsi="Times New Roman" w:cs="Times New Roman"/>
          <w:sz w:val="27"/>
          <w:szCs w:val="27"/>
        </w:rPr>
        <w:t xml:space="preserve"> в рамках </w:t>
      </w:r>
      <w:r w:rsidR="006D22CF" w:rsidRPr="003F6E95">
        <w:rPr>
          <w:rFonts w:ascii="Times New Roman" w:hAnsi="Times New Roman" w:cs="Times New Roman"/>
          <w:sz w:val="27"/>
          <w:szCs w:val="27"/>
        </w:rPr>
        <w:t>Приоритетных направлений</w:t>
      </w:r>
      <w:r w:rsidRPr="003F6E95">
        <w:rPr>
          <w:rFonts w:ascii="Times New Roman" w:hAnsi="Times New Roman" w:cs="Times New Roman"/>
          <w:sz w:val="27"/>
          <w:szCs w:val="27"/>
        </w:rPr>
        <w:t xml:space="preserve">. Особые мнения членов </w:t>
      </w:r>
      <w:r w:rsidR="00165669" w:rsidRPr="003F6E95">
        <w:rPr>
          <w:rFonts w:ascii="Times New Roman" w:hAnsi="Times New Roman" w:cs="Times New Roman"/>
          <w:sz w:val="27"/>
          <w:szCs w:val="27"/>
        </w:rPr>
        <w:t>И</w:t>
      </w:r>
      <w:r w:rsidRPr="003F6E95">
        <w:rPr>
          <w:rFonts w:ascii="Times New Roman" w:hAnsi="Times New Roman" w:cs="Times New Roman"/>
          <w:sz w:val="27"/>
          <w:szCs w:val="27"/>
        </w:rPr>
        <w:t>нвестиционного комитета рассматриваются на заседании Исполнительной дирекции.</w:t>
      </w:r>
    </w:p>
    <w:p w:rsidR="004135BF" w:rsidRPr="003F6E95" w:rsidRDefault="00C115AF" w:rsidP="003F6E95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3F6E95">
        <w:rPr>
          <w:rFonts w:ascii="Times New Roman" w:hAnsi="Times New Roman" w:cs="Times New Roman"/>
          <w:sz w:val="27"/>
          <w:szCs w:val="27"/>
        </w:rPr>
        <w:lastRenderedPageBreak/>
        <w:t xml:space="preserve">Прямое взаимодействие представителей службы риск менеджмент с Президентом Фонда. </w:t>
      </w:r>
    </w:p>
    <w:p w:rsidR="007F3BAF" w:rsidRPr="003F6E95" w:rsidRDefault="006D5FFA" w:rsidP="003F6E95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3F6E95">
        <w:rPr>
          <w:rFonts w:ascii="Times New Roman" w:hAnsi="Times New Roman" w:cs="Times New Roman"/>
          <w:sz w:val="27"/>
          <w:szCs w:val="27"/>
        </w:rPr>
        <w:t>Руководитель службы риск-</w:t>
      </w:r>
      <w:r w:rsidR="00C115AF" w:rsidRPr="003F6E95">
        <w:rPr>
          <w:rFonts w:ascii="Times New Roman" w:hAnsi="Times New Roman" w:cs="Times New Roman"/>
          <w:sz w:val="27"/>
          <w:szCs w:val="27"/>
        </w:rPr>
        <w:t xml:space="preserve">менеджмент вправе напрямую обратиться к Президенту Фонда по </w:t>
      </w:r>
      <w:r w:rsidR="006D22CF" w:rsidRPr="003F6E95">
        <w:rPr>
          <w:rFonts w:ascii="Times New Roman" w:hAnsi="Times New Roman" w:cs="Times New Roman"/>
          <w:sz w:val="27"/>
          <w:szCs w:val="27"/>
        </w:rPr>
        <w:t xml:space="preserve">любым </w:t>
      </w:r>
      <w:r w:rsidR="00C115AF" w:rsidRPr="003F6E95">
        <w:rPr>
          <w:rFonts w:ascii="Times New Roman" w:hAnsi="Times New Roman" w:cs="Times New Roman"/>
          <w:sz w:val="27"/>
          <w:szCs w:val="27"/>
        </w:rPr>
        <w:t>вопросам, возникающим в процессе управления рисками</w:t>
      </w:r>
      <w:r w:rsidR="006D22CF" w:rsidRPr="003F6E95">
        <w:rPr>
          <w:rFonts w:ascii="Times New Roman" w:hAnsi="Times New Roman" w:cs="Times New Roman"/>
          <w:sz w:val="27"/>
          <w:szCs w:val="27"/>
        </w:rPr>
        <w:t xml:space="preserve">, предоставлять Президенту Фонда рекомендации по </w:t>
      </w:r>
      <w:r w:rsidR="009234BF" w:rsidRPr="003F6E95">
        <w:rPr>
          <w:rFonts w:ascii="Times New Roman" w:hAnsi="Times New Roman" w:cs="Times New Roman"/>
          <w:sz w:val="27"/>
          <w:szCs w:val="27"/>
        </w:rPr>
        <w:t xml:space="preserve">внедрению процесса управления рисками в </w:t>
      </w:r>
      <w:r w:rsidR="006D22CF" w:rsidRPr="003F6E95">
        <w:rPr>
          <w:rFonts w:ascii="Times New Roman" w:hAnsi="Times New Roman" w:cs="Times New Roman"/>
          <w:sz w:val="27"/>
          <w:szCs w:val="27"/>
        </w:rPr>
        <w:t>процесс инвестирования и формировани</w:t>
      </w:r>
      <w:r w:rsidRPr="003F6E95">
        <w:rPr>
          <w:rFonts w:ascii="Times New Roman" w:hAnsi="Times New Roman" w:cs="Times New Roman"/>
          <w:sz w:val="27"/>
          <w:szCs w:val="27"/>
        </w:rPr>
        <w:t>я</w:t>
      </w:r>
      <w:r w:rsidR="006D22CF" w:rsidRPr="003F6E95">
        <w:rPr>
          <w:rFonts w:ascii="Times New Roman" w:hAnsi="Times New Roman" w:cs="Times New Roman"/>
          <w:sz w:val="27"/>
          <w:szCs w:val="27"/>
        </w:rPr>
        <w:t xml:space="preserve"> инвестиционной стратегии Фонда. </w:t>
      </w:r>
    </w:p>
    <w:p w:rsidR="007F3BAF" w:rsidRPr="003F6E95" w:rsidRDefault="007F3BAF" w:rsidP="003F6E95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3F6E95">
        <w:rPr>
          <w:rFonts w:ascii="Times New Roman" w:hAnsi="Times New Roman" w:cs="Times New Roman"/>
          <w:sz w:val="27"/>
          <w:szCs w:val="27"/>
        </w:rPr>
        <w:t>Формирование и регулярный пересмотр лимитов в процессе инвестирования, с учетом оценки рисков</w:t>
      </w:r>
      <w:r w:rsidR="00876038" w:rsidRPr="003F6E95">
        <w:rPr>
          <w:rFonts w:ascii="Times New Roman" w:hAnsi="Times New Roman" w:cs="Times New Roman"/>
          <w:sz w:val="27"/>
          <w:szCs w:val="27"/>
        </w:rPr>
        <w:t>;</w:t>
      </w:r>
    </w:p>
    <w:p w:rsidR="0059090C" w:rsidRPr="003F6E95" w:rsidRDefault="000D0AC7" w:rsidP="003F6E95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3F6E95">
        <w:rPr>
          <w:rFonts w:ascii="Times New Roman" w:hAnsi="Times New Roman" w:cs="Times New Roman"/>
          <w:sz w:val="27"/>
          <w:szCs w:val="27"/>
        </w:rPr>
        <w:t xml:space="preserve">В рамках утвержденных Приоритетных направлений, Инвестиционный комитет разрабатывает лимиты на кредитные организации, </w:t>
      </w:r>
      <w:r w:rsidR="008A40EA" w:rsidRPr="003F6E95">
        <w:rPr>
          <w:rFonts w:ascii="Times New Roman" w:hAnsi="Times New Roman" w:cs="Times New Roman"/>
          <w:sz w:val="27"/>
          <w:szCs w:val="27"/>
        </w:rPr>
        <w:t>управляющи</w:t>
      </w:r>
      <w:r w:rsidR="000D7595" w:rsidRPr="003F6E95">
        <w:rPr>
          <w:rFonts w:ascii="Times New Roman" w:hAnsi="Times New Roman" w:cs="Times New Roman"/>
          <w:sz w:val="27"/>
          <w:szCs w:val="27"/>
        </w:rPr>
        <w:t>е</w:t>
      </w:r>
      <w:r w:rsidR="008A40EA" w:rsidRPr="003F6E95">
        <w:rPr>
          <w:rFonts w:ascii="Times New Roman" w:hAnsi="Times New Roman" w:cs="Times New Roman"/>
          <w:sz w:val="27"/>
          <w:szCs w:val="27"/>
        </w:rPr>
        <w:t xml:space="preserve"> компани</w:t>
      </w:r>
      <w:r w:rsidR="000D7595" w:rsidRPr="003F6E95">
        <w:rPr>
          <w:rFonts w:ascii="Times New Roman" w:hAnsi="Times New Roman" w:cs="Times New Roman"/>
          <w:sz w:val="27"/>
          <w:szCs w:val="27"/>
        </w:rPr>
        <w:t>и</w:t>
      </w:r>
      <w:r w:rsidR="008A40EA" w:rsidRPr="003F6E95">
        <w:rPr>
          <w:rFonts w:ascii="Times New Roman" w:hAnsi="Times New Roman" w:cs="Times New Roman"/>
          <w:sz w:val="27"/>
          <w:szCs w:val="27"/>
        </w:rPr>
        <w:t>, эмитентов ценных бумаг, лимиты на виды активов, кредитное качество активов, срочност</w:t>
      </w:r>
      <w:r w:rsidR="00B9671E" w:rsidRPr="003F6E95">
        <w:rPr>
          <w:rFonts w:ascii="Times New Roman" w:hAnsi="Times New Roman" w:cs="Times New Roman"/>
          <w:sz w:val="27"/>
          <w:szCs w:val="27"/>
        </w:rPr>
        <w:t>ь</w:t>
      </w:r>
      <w:r w:rsidR="008A40EA" w:rsidRPr="003F6E95">
        <w:rPr>
          <w:rFonts w:ascii="Times New Roman" w:hAnsi="Times New Roman" w:cs="Times New Roman"/>
          <w:sz w:val="27"/>
          <w:szCs w:val="27"/>
        </w:rPr>
        <w:t xml:space="preserve"> погашения активов</w:t>
      </w:r>
      <w:r w:rsidR="0059090C" w:rsidRPr="003F6E95">
        <w:rPr>
          <w:rFonts w:ascii="Times New Roman" w:hAnsi="Times New Roman" w:cs="Times New Roman"/>
          <w:sz w:val="27"/>
          <w:szCs w:val="27"/>
        </w:rPr>
        <w:t xml:space="preserve">, лимиты на группы активов </w:t>
      </w:r>
      <w:r w:rsidR="000D7595" w:rsidRPr="003F6E95">
        <w:rPr>
          <w:rFonts w:ascii="Times New Roman" w:hAnsi="Times New Roman" w:cs="Times New Roman"/>
          <w:sz w:val="27"/>
          <w:szCs w:val="27"/>
        </w:rPr>
        <w:t xml:space="preserve">с учетом </w:t>
      </w:r>
      <w:r w:rsidR="0059090C" w:rsidRPr="003F6E95">
        <w:rPr>
          <w:rFonts w:ascii="Times New Roman" w:hAnsi="Times New Roman" w:cs="Times New Roman"/>
          <w:sz w:val="27"/>
          <w:szCs w:val="27"/>
        </w:rPr>
        <w:t>отрасл</w:t>
      </w:r>
      <w:r w:rsidR="000D7595" w:rsidRPr="003F6E95">
        <w:rPr>
          <w:rFonts w:ascii="Times New Roman" w:hAnsi="Times New Roman" w:cs="Times New Roman"/>
          <w:sz w:val="27"/>
          <w:szCs w:val="27"/>
        </w:rPr>
        <w:t>евой</w:t>
      </w:r>
      <w:r w:rsidR="0059090C" w:rsidRPr="003F6E95">
        <w:rPr>
          <w:rFonts w:ascii="Times New Roman" w:hAnsi="Times New Roman" w:cs="Times New Roman"/>
          <w:sz w:val="27"/>
          <w:szCs w:val="27"/>
        </w:rPr>
        <w:t xml:space="preserve"> </w:t>
      </w:r>
      <w:r w:rsidR="000D7595" w:rsidRPr="003F6E95">
        <w:rPr>
          <w:rFonts w:ascii="Times New Roman" w:hAnsi="Times New Roman" w:cs="Times New Roman"/>
          <w:sz w:val="27"/>
          <w:szCs w:val="27"/>
        </w:rPr>
        <w:t>принадлежности эмитентов таких активов</w:t>
      </w:r>
      <w:r w:rsidR="008A40EA" w:rsidRPr="003F6E95">
        <w:rPr>
          <w:rFonts w:ascii="Times New Roman" w:hAnsi="Times New Roman" w:cs="Times New Roman"/>
          <w:sz w:val="27"/>
          <w:szCs w:val="27"/>
        </w:rPr>
        <w:t xml:space="preserve">. Инвестиционный комитет формирует лимиты </w:t>
      </w:r>
      <w:r w:rsidR="0059090C" w:rsidRPr="003F6E95">
        <w:rPr>
          <w:rFonts w:ascii="Times New Roman" w:hAnsi="Times New Roman" w:cs="Times New Roman"/>
          <w:sz w:val="27"/>
          <w:szCs w:val="27"/>
        </w:rPr>
        <w:t xml:space="preserve">на </w:t>
      </w:r>
      <w:r w:rsidR="008A40EA" w:rsidRPr="003F6E95">
        <w:rPr>
          <w:rFonts w:ascii="Times New Roman" w:hAnsi="Times New Roman" w:cs="Times New Roman"/>
          <w:sz w:val="27"/>
          <w:szCs w:val="27"/>
        </w:rPr>
        <w:t xml:space="preserve">активы с учетом следующих показателей: </w:t>
      </w:r>
      <w:r w:rsidR="0059090C" w:rsidRPr="003F6E95">
        <w:rPr>
          <w:rFonts w:ascii="Times New Roman" w:hAnsi="Times New Roman" w:cs="Times New Roman"/>
          <w:sz w:val="27"/>
          <w:szCs w:val="27"/>
        </w:rPr>
        <w:t xml:space="preserve">финансовых показателей устойчивости эмитентов, кредитных организаций, рыночной ликвидности выпуска ценных бумаг, позиции на финансовом рынке эмитентов ценных бумаг и кредитных организаций, уязвимости отдельных отраслей экономики в период кризиса, текущего состояния фондового рынка, текущего состояния и прогнозов развития экономики страны. </w:t>
      </w:r>
    </w:p>
    <w:p w:rsidR="00216EC9" w:rsidRPr="003F6E95" w:rsidRDefault="00BC02A0" w:rsidP="003F6E95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3F6E95">
        <w:rPr>
          <w:rFonts w:ascii="Times New Roman" w:hAnsi="Times New Roman" w:cs="Times New Roman"/>
          <w:sz w:val="27"/>
          <w:szCs w:val="27"/>
        </w:rPr>
        <w:t>Непрерывный мониторинг рисков инвестиционных портфелей</w:t>
      </w:r>
      <w:r w:rsidR="007F3BAF" w:rsidRPr="003F6E95">
        <w:rPr>
          <w:rFonts w:ascii="Times New Roman" w:hAnsi="Times New Roman" w:cs="Times New Roman"/>
          <w:sz w:val="27"/>
          <w:szCs w:val="27"/>
        </w:rPr>
        <w:t>;</w:t>
      </w:r>
    </w:p>
    <w:p w:rsidR="007F0C0A" w:rsidRPr="003F6E95" w:rsidRDefault="000D7595" w:rsidP="003F6E95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3F6E95">
        <w:rPr>
          <w:rFonts w:ascii="Times New Roman" w:hAnsi="Times New Roman" w:cs="Times New Roman"/>
          <w:sz w:val="27"/>
          <w:szCs w:val="27"/>
        </w:rPr>
        <w:t>Представители службы риск-менеджмент Фонда непрерывно осуществляют мониторинг рисков инвестиционных портфелей Фонда. Для оперативности процесса выявления и оценки рисков в Фонде осуществляется автоматизация</w:t>
      </w:r>
      <w:r w:rsidR="007F0C0A" w:rsidRPr="003F6E95">
        <w:rPr>
          <w:rFonts w:ascii="Times New Roman" w:hAnsi="Times New Roman" w:cs="Times New Roman"/>
          <w:sz w:val="27"/>
          <w:szCs w:val="27"/>
        </w:rPr>
        <w:t xml:space="preserve"> расчетов показателей</w:t>
      </w:r>
      <w:r w:rsidR="00A10258" w:rsidRPr="003F6E95">
        <w:rPr>
          <w:rFonts w:ascii="Times New Roman" w:hAnsi="Times New Roman" w:cs="Times New Roman"/>
          <w:sz w:val="27"/>
          <w:szCs w:val="27"/>
        </w:rPr>
        <w:t>,</w:t>
      </w:r>
      <w:r w:rsidR="007F0C0A" w:rsidRPr="003F6E95">
        <w:rPr>
          <w:rFonts w:ascii="Times New Roman" w:hAnsi="Times New Roman" w:cs="Times New Roman"/>
          <w:sz w:val="27"/>
          <w:szCs w:val="27"/>
        </w:rPr>
        <w:t xml:space="preserve"> </w:t>
      </w:r>
      <w:r w:rsidR="00A10258" w:rsidRPr="003F6E95">
        <w:rPr>
          <w:rFonts w:ascii="Times New Roman" w:hAnsi="Times New Roman" w:cs="Times New Roman"/>
          <w:sz w:val="27"/>
          <w:szCs w:val="27"/>
        </w:rPr>
        <w:t xml:space="preserve">применяемых </w:t>
      </w:r>
      <w:r w:rsidR="007F0C0A" w:rsidRPr="003F6E95">
        <w:rPr>
          <w:rFonts w:ascii="Times New Roman" w:hAnsi="Times New Roman" w:cs="Times New Roman"/>
          <w:sz w:val="27"/>
          <w:szCs w:val="27"/>
        </w:rPr>
        <w:t>в рамках функционирования системы риск-менеджмент Фонда</w:t>
      </w:r>
      <w:r w:rsidRPr="003F6E95">
        <w:rPr>
          <w:rFonts w:ascii="Times New Roman" w:hAnsi="Times New Roman" w:cs="Times New Roman"/>
          <w:sz w:val="27"/>
          <w:szCs w:val="27"/>
        </w:rPr>
        <w:t xml:space="preserve">. </w:t>
      </w:r>
      <w:r w:rsidR="0059090C" w:rsidRPr="003F6E95">
        <w:rPr>
          <w:rFonts w:ascii="Times New Roman" w:hAnsi="Times New Roman" w:cs="Times New Roman"/>
          <w:sz w:val="27"/>
          <w:szCs w:val="27"/>
        </w:rPr>
        <w:t xml:space="preserve">На регулярной основе Президенту Фонда представляются отчеты об уровне риска, эффективности управления, сомнительных сделках управляющих компаний. </w:t>
      </w:r>
    </w:p>
    <w:p w:rsidR="00876038" w:rsidRPr="003F6E95" w:rsidRDefault="004135BF" w:rsidP="003F6E95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3F6E95">
        <w:rPr>
          <w:rFonts w:ascii="Times New Roman" w:hAnsi="Times New Roman" w:cs="Times New Roman"/>
          <w:sz w:val="27"/>
          <w:szCs w:val="27"/>
        </w:rPr>
        <w:t>Регулярн</w:t>
      </w:r>
      <w:r w:rsidR="00876038" w:rsidRPr="003F6E95">
        <w:rPr>
          <w:rFonts w:ascii="Times New Roman" w:hAnsi="Times New Roman" w:cs="Times New Roman"/>
          <w:sz w:val="27"/>
          <w:szCs w:val="27"/>
        </w:rPr>
        <w:t>о</w:t>
      </w:r>
      <w:r w:rsidRPr="003F6E95">
        <w:rPr>
          <w:rFonts w:ascii="Times New Roman" w:hAnsi="Times New Roman" w:cs="Times New Roman"/>
          <w:sz w:val="27"/>
          <w:szCs w:val="27"/>
        </w:rPr>
        <w:t>е</w:t>
      </w:r>
      <w:r w:rsidR="00876038" w:rsidRPr="003F6E95">
        <w:rPr>
          <w:rFonts w:ascii="Times New Roman" w:hAnsi="Times New Roman" w:cs="Times New Roman"/>
          <w:sz w:val="27"/>
          <w:szCs w:val="27"/>
        </w:rPr>
        <w:t xml:space="preserve"> (не реже одного раза в квартал)</w:t>
      </w:r>
      <w:r w:rsidRPr="003F6E95">
        <w:rPr>
          <w:rFonts w:ascii="Times New Roman" w:hAnsi="Times New Roman" w:cs="Times New Roman"/>
          <w:sz w:val="27"/>
          <w:szCs w:val="27"/>
        </w:rPr>
        <w:t xml:space="preserve"> </w:t>
      </w:r>
      <w:r w:rsidR="00876038" w:rsidRPr="003F6E95">
        <w:rPr>
          <w:rFonts w:ascii="Times New Roman" w:hAnsi="Times New Roman" w:cs="Times New Roman"/>
          <w:sz w:val="27"/>
          <w:szCs w:val="27"/>
        </w:rPr>
        <w:t xml:space="preserve">проведение </w:t>
      </w:r>
      <w:r w:rsidRPr="003F6E95">
        <w:rPr>
          <w:rFonts w:ascii="Times New Roman" w:hAnsi="Times New Roman" w:cs="Times New Roman"/>
          <w:sz w:val="27"/>
          <w:szCs w:val="27"/>
        </w:rPr>
        <w:t>встреч</w:t>
      </w:r>
      <w:r w:rsidR="00876038" w:rsidRPr="003F6E95">
        <w:rPr>
          <w:rFonts w:ascii="Times New Roman" w:hAnsi="Times New Roman" w:cs="Times New Roman"/>
          <w:sz w:val="27"/>
          <w:szCs w:val="27"/>
        </w:rPr>
        <w:t xml:space="preserve"> челнов</w:t>
      </w:r>
      <w:r w:rsidRPr="003F6E95">
        <w:rPr>
          <w:rFonts w:ascii="Times New Roman" w:hAnsi="Times New Roman" w:cs="Times New Roman"/>
          <w:sz w:val="27"/>
          <w:szCs w:val="27"/>
        </w:rPr>
        <w:t xml:space="preserve"> инвестиционного комитета с представителями управляющих компаний</w:t>
      </w:r>
      <w:r w:rsidR="006D22CF" w:rsidRPr="003F6E95">
        <w:rPr>
          <w:rFonts w:ascii="Times New Roman" w:hAnsi="Times New Roman" w:cs="Times New Roman"/>
          <w:sz w:val="27"/>
          <w:szCs w:val="27"/>
        </w:rPr>
        <w:t>.</w:t>
      </w:r>
      <w:r w:rsidRPr="003F6E9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135BF" w:rsidRPr="003F6E95" w:rsidRDefault="006D22CF" w:rsidP="003F6E9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6E95">
        <w:rPr>
          <w:rFonts w:ascii="Times New Roman" w:hAnsi="Times New Roman" w:cs="Times New Roman"/>
          <w:sz w:val="27"/>
          <w:szCs w:val="27"/>
        </w:rPr>
        <w:t>Не реже одного раза  квартал члены инвестиционного комитета встречаются с руководством управляющих компаний. При необходимости на встречи приглашаются представители службы риск-м</w:t>
      </w:r>
      <w:r w:rsidR="000D0AC7" w:rsidRPr="003F6E95">
        <w:rPr>
          <w:rFonts w:ascii="Times New Roman" w:hAnsi="Times New Roman" w:cs="Times New Roman"/>
          <w:sz w:val="27"/>
          <w:szCs w:val="27"/>
        </w:rPr>
        <w:t>е</w:t>
      </w:r>
      <w:r w:rsidRPr="003F6E95">
        <w:rPr>
          <w:rFonts w:ascii="Times New Roman" w:hAnsi="Times New Roman" w:cs="Times New Roman"/>
          <w:sz w:val="27"/>
          <w:szCs w:val="27"/>
        </w:rPr>
        <w:t xml:space="preserve">неджмент управляющих компаний и </w:t>
      </w:r>
      <w:r w:rsidRPr="003F6E95">
        <w:rPr>
          <w:rFonts w:ascii="Times New Roman" w:hAnsi="Times New Roman" w:cs="Times New Roman"/>
          <w:sz w:val="27"/>
          <w:szCs w:val="27"/>
        </w:rPr>
        <w:lastRenderedPageBreak/>
        <w:t xml:space="preserve">представители </w:t>
      </w:r>
      <w:r w:rsidR="000D0AC7" w:rsidRPr="003F6E95">
        <w:rPr>
          <w:rFonts w:ascii="Times New Roman" w:hAnsi="Times New Roman" w:cs="Times New Roman"/>
          <w:sz w:val="27"/>
          <w:szCs w:val="27"/>
        </w:rPr>
        <w:t>управляющих активами. На встреч</w:t>
      </w:r>
      <w:r w:rsidR="00B9671E" w:rsidRPr="003F6E95">
        <w:rPr>
          <w:rFonts w:ascii="Times New Roman" w:hAnsi="Times New Roman" w:cs="Times New Roman"/>
          <w:sz w:val="27"/>
          <w:szCs w:val="27"/>
        </w:rPr>
        <w:t>ах</w:t>
      </w:r>
      <w:r w:rsidR="000D0AC7" w:rsidRPr="003F6E95">
        <w:rPr>
          <w:rFonts w:ascii="Times New Roman" w:hAnsi="Times New Roman" w:cs="Times New Roman"/>
          <w:sz w:val="27"/>
          <w:szCs w:val="27"/>
        </w:rPr>
        <w:t xml:space="preserve"> рассматриваются текущие задачи, подводятся итоги управления активами </w:t>
      </w:r>
      <w:r w:rsidR="00A10258" w:rsidRPr="003F6E95">
        <w:rPr>
          <w:rFonts w:ascii="Times New Roman" w:hAnsi="Times New Roman" w:cs="Times New Roman"/>
          <w:sz w:val="27"/>
          <w:szCs w:val="27"/>
        </w:rPr>
        <w:t>Фонда</w:t>
      </w:r>
      <w:r w:rsidR="000D0AC7" w:rsidRPr="003F6E95">
        <w:rPr>
          <w:rFonts w:ascii="Times New Roman" w:hAnsi="Times New Roman" w:cs="Times New Roman"/>
          <w:sz w:val="27"/>
          <w:szCs w:val="27"/>
        </w:rPr>
        <w:t xml:space="preserve"> в отчетном квартале, обсуждаются риски инвестиционн</w:t>
      </w:r>
      <w:r w:rsidR="00A10258" w:rsidRPr="003F6E95">
        <w:rPr>
          <w:rFonts w:ascii="Times New Roman" w:hAnsi="Times New Roman" w:cs="Times New Roman"/>
          <w:sz w:val="27"/>
          <w:szCs w:val="27"/>
        </w:rPr>
        <w:t>ых</w:t>
      </w:r>
      <w:r w:rsidR="000D0AC7" w:rsidRPr="003F6E95">
        <w:rPr>
          <w:rFonts w:ascii="Times New Roman" w:hAnsi="Times New Roman" w:cs="Times New Roman"/>
          <w:sz w:val="27"/>
          <w:szCs w:val="27"/>
        </w:rPr>
        <w:t xml:space="preserve"> портфел</w:t>
      </w:r>
      <w:r w:rsidR="00A10258" w:rsidRPr="003F6E95">
        <w:rPr>
          <w:rFonts w:ascii="Times New Roman" w:hAnsi="Times New Roman" w:cs="Times New Roman"/>
          <w:sz w:val="27"/>
          <w:szCs w:val="27"/>
        </w:rPr>
        <w:t>ей</w:t>
      </w:r>
      <w:r w:rsidR="000D0AC7" w:rsidRPr="003F6E95">
        <w:rPr>
          <w:rFonts w:ascii="Times New Roman" w:hAnsi="Times New Roman" w:cs="Times New Roman"/>
          <w:sz w:val="27"/>
          <w:szCs w:val="27"/>
        </w:rPr>
        <w:t>.</w:t>
      </w:r>
    </w:p>
    <w:p w:rsidR="007F3BAF" w:rsidRPr="003F6E95" w:rsidRDefault="007F3BAF" w:rsidP="003F6E95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3F6E95">
        <w:rPr>
          <w:rFonts w:ascii="Times New Roman" w:hAnsi="Times New Roman" w:cs="Times New Roman"/>
          <w:sz w:val="27"/>
          <w:szCs w:val="27"/>
        </w:rPr>
        <w:t>Регламентация процессов принятия инвестиционных решений и управления рисками;</w:t>
      </w:r>
    </w:p>
    <w:p w:rsidR="0059090C" w:rsidRPr="003F6E95" w:rsidRDefault="007F0C0A" w:rsidP="003F6E95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3F6E95">
        <w:rPr>
          <w:rFonts w:ascii="Times New Roman" w:hAnsi="Times New Roman" w:cs="Times New Roman"/>
          <w:sz w:val="27"/>
          <w:szCs w:val="27"/>
        </w:rPr>
        <w:t>В Фонде разработаны</w:t>
      </w:r>
      <w:r w:rsidR="009114EF" w:rsidRPr="003F6E95">
        <w:rPr>
          <w:rFonts w:ascii="Times New Roman" w:hAnsi="Times New Roman" w:cs="Times New Roman"/>
          <w:sz w:val="27"/>
          <w:szCs w:val="27"/>
        </w:rPr>
        <w:t xml:space="preserve"> регламенты и положения,</w:t>
      </w:r>
      <w:r w:rsidRPr="003F6E95">
        <w:rPr>
          <w:rFonts w:ascii="Times New Roman" w:hAnsi="Times New Roman" w:cs="Times New Roman"/>
          <w:sz w:val="27"/>
          <w:szCs w:val="27"/>
        </w:rPr>
        <w:t xml:space="preserve"> </w:t>
      </w:r>
      <w:r w:rsidR="00625200" w:rsidRPr="003F6E95">
        <w:rPr>
          <w:rFonts w:ascii="Times New Roman" w:hAnsi="Times New Roman" w:cs="Times New Roman"/>
          <w:sz w:val="27"/>
          <w:szCs w:val="27"/>
        </w:rPr>
        <w:t>определяющие</w:t>
      </w:r>
      <w:r w:rsidRPr="003F6E95">
        <w:rPr>
          <w:rFonts w:ascii="Times New Roman" w:hAnsi="Times New Roman" w:cs="Times New Roman"/>
          <w:sz w:val="27"/>
          <w:szCs w:val="27"/>
        </w:rPr>
        <w:t xml:space="preserve"> процессы принятия инвестиционных решений и управления рисками.</w:t>
      </w:r>
      <w:r w:rsidR="00EF6DF4" w:rsidRPr="003F6E95">
        <w:rPr>
          <w:rFonts w:ascii="Times New Roman" w:hAnsi="Times New Roman" w:cs="Times New Roman"/>
          <w:sz w:val="27"/>
          <w:szCs w:val="27"/>
        </w:rPr>
        <w:t xml:space="preserve"> В положении системы риск-менеджмент четко прописаны функции и полномочи</w:t>
      </w:r>
      <w:r w:rsidR="00625200" w:rsidRPr="003F6E95">
        <w:rPr>
          <w:rFonts w:ascii="Times New Roman" w:hAnsi="Times New Roman" w:cs="Times New Roman"/>
          <w:sz w:val="27"/>
          <w:szCs w:val="27"/>
        </w:rPr>
        <w:t>я</w:t>
      </w:r>
      <w:r w:rsidR="00EF6DF4" w:rsidRPr="003F6E95">
        <w:rPr>
          <w:rFonts w:ascii="Times New Roman" w:hAnsi="Times New Roman" w:cs="Times New Roman"/>
          <w:sz w:val="27"/>
          <w:szCs w:val="27"/>
        </w:rPr>
        <w:t xml:space="preserve"> участников</w:t>
      </w:r>
      <w:r w:rsidR="009114EF" w:rsidRPr="003F6E95">
        <w:rPr>
          <w:rFonts w:ascii="Times New Roman" w:hAnsi="Times New Roman" w:cs="Times New Roman"/>
          <w:sz w:val="27"/>
          <w:szCs w:val="27"/>
        </w:rPr>
        <w:t xml:space="preserve"> системы риск-менеджмент</w:t>
      </w:r>
      <w:r w:rsidR="00EF6DF4" w:rsidRPr="003F6E95">
        <w:rPr>
          <w:rFonts w:ascii="Times New Roman" w:hAnsi="Times New Roman" w:cs="Times New Roman"/>
          <w:sz w:val="27"/>
          <w:szCs w:val="27"/>
        </w:rPr>
        <w:t>, с целью оптимизации процессов инвестирования и управления рисками и недопущения конфликта интересов.</w:t>
      </w:r>
      <w:r w:rsidRPr="003F6E95">
        <w:rPr>
          <w:rFonts w:ascii="Times New Roman" w:hAnsi="Times New Roman" w:cs="Times New Roman"/>
          <w:sz w:val="27"/>
          <w:szCs w:val="27"/>
        </w:rPr>
        <w:t xml:space="preserve"> В регламентах отража</w:t>
      </w:r>
      <w:r w:rsidR="009114EF" w:rsidRPr="003F6E95">
        <w:rPr>
          <w:rFonts w:ascii="Times New Roman" w:hAnsi="Times New Roman" w:cs="Times New Roman"/>
          <w:sz w:val="27"/>
          <w:szCs w:val="27"/>
        </w:rPr>
        <w:t>ю</w:t>
      </w:r>
      <w:r w:rsidRPr="003F6E95">
        <w:rPr>
          <w:rFonts w:ascii="Times New Roman" w:hAnsi="Times New Roman" w:cs="Times New Roman"/>
          <w:sz w:val="27"/>
          <w:szCs w:val="27"/>
        </w:rPr>
        <w:t xml:space="preserve">тся процессы взаимодействия Фонда с финансовыми контрагентами в нормальных условиях и в условиях повышенной вероятности реализации рисков. </w:t>
      </w:r>
      <w:r w:rsidR="009114EF" w:rsidRPr="003F6E95">
        <w:rPr>
          <w:rFonts w:ascii="Times New Roman" w:hAnsi="Times New Roman" w:cs="Times New Roman"/>
          <w:sz w:val="27"/>
          <w:szCs w:val="27"/>
        </w:rPr>
        <w:t>Указан</w:t>
      </w:r>
      <w:r w:rsidRPr="003F6E95">
        <w:rPr>
          <w:rFonts w:ascii="Times New Roman" w:hAnsi="Times New Roman" w:cs="Times New Roman"/>
          <w:sz w:val="27"/>
          <w:szCs w:val="27"/>
        </w:rPr>
        <w:t xml:space="preserve"> порядок действия Фонда</w:t>
      </w:r>
      <w:r w:rsidR="009114EF" w:rsidRPr="003F6E95">
        <w:rPr>
          <w:rFonts w:ascii="Times New Roman" w:hAnsi="Times New Roman" w:cs="Times New Roman"/>
          <w:sz w:val="27"/>
          <w:szCs w:val="27"/>
        </w:rPr>
        <w:t xml:space="preserve"> (в том числе функции и полномочия сотрудников Фонда)</w:t>
      </w:r>
      <w:r w:rsidRPr="003F6E95">
        <w:rPr>
          <w:rFonts w:ascii="Times New Roman" w:hAnsi="Times New Roman" w:cs="Times New Roman"/>
          <w:sz w:val="27"/>
          <w:szCs w:val="27"/>
        </w:rPr>
        <w:t xml:space="preserve"> в слу</w:t>
      </w:r>
      <w:r w:rsidR="00EF6DF4" w:rsidRPr="003F6E95">
        <w:rPr>
          <w:rFonts w:ascii="Times New Roman" w:hAnsi="Times New Roman" w:cs="Times New Roman"/>
          <w:sz w:val="27"/>
          <w:szCs w:val="27"/>
        </w:rPr>
        <w:t xml:space="preserve">чае реализации рисковых событий. </w:t>
      </w:r>
      <w:r w:rsidR="009114EF" w:rsidRPr="003F6E95">
        <w:rPr>
          <w:rFonts w:ascii="Times New Roman" w:hAnsi="Times New Roman" w:cs="Times New Roman"/>
          <w:sz w:val="27"/>
          <w:szCs w:val="27"/>
        </w:rPr>
        <w:t xml:space="preserve">В документах, </w:t>
      </w:r>
      <w:r w:rsidR="00625200" w:rsidRPr="003F6E95">
        <w:rPr>
          <w:rFonts w:ascii="Times New Roman" w:hAnsi="Times New Roman" w:cs="Times New Roman"/>
          <w:sz w:val="27"/>
          <w:szCs w:val="27"/>
        </w:rPr>
        <w:t>определяющих</w:t>
      </w:r>
      <w:r w:rsidR="009114EF" w:rsidRPr="003F6E95">
        <w:rPr>
          <w:rFonts w:ascii="Times New Roman" w:hAnsi="Times New Roman" w:cs="Times New Roman"/>
          <w:sz w:val="27"/>
          <w:szCs w:val="27"/>
        </w:rPr>
        <w:t xml:space="preserve"> функционирование системы риск-менеджмент Фонда, указываются порядок и периодичность пересмотра таких документов.</w:t>
      </w:r>
    </w:p>
    <w:p w:rsidR="00BC02A0" w:rsidRPr="003F6E95" w:rsidRDefault="00625200" w:rsidP="003F6E95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3F6E95">
        <w:rPr>
          <w:rFonts w:ascii="Times New Roman" w:hAnsi="Times New Roman" w:cs="Times New Roman"/>
          <w:sz w:val="27"/>
          <w:szCs w:val="27"/>
        </w:rPr>
        <w:t>А</w:t>
      </w:r>
      <w:r w:rsidR="00BC02A0" w:rsidRPr="003F6E95">
        <w:rPr>
          <w:rFonts w:ascii="Times New Roman" w:hAnsi="Times New Roman" w:cs="Times New Roman"/>
          <w:sz w:val="27"/>
          <w:szCs w:val="27"/>
        </w:rPr>
        <w:t xml:space="preserve">нализ результатов инвестирования, совершенствование системы риск-менеджмент и </w:t>
      </w:r>
      <w:r w:rsidRPr="003F6E95">
        <w:rPr>
          <w:rFonts w:ascii="Times New Roman" w:hAnsi="Times New Roman" w:cs="Times New Roman"/>
          <w:sz w:val="27"/>
          <w:szCs w:val="27"/>
        </w:rPr>
        <w:t>процедур</w:t>
      </w:r>
      <w:r w:rsidR="00BC02A0" w:rsidRPr="003F6E95">
        <w:rPr>
          <w:rFonts w:ascii="Times New Roman" w:hAnsi="Times New Roman" w:cs="Times New Roman"/>
          <w:sz w:val="27"/>
          <w:szCs w:val="27"/>
        </w:rPr>
        <w:t xml:space="preserve"> </w:t>
      </w:r>
      <w:r w:rsidR="007F3BAF" w:rsidRPr="003F6E95">
        <w:rPr>
          <w:rFonts w:ascii="Times New Roman" w:hAnsi="Times New Roman" w:cs="Times New Roman"/>
          <w:sz w:val="27"/>
          <w:szCs w:val="27"/>
        </w:rPr>
        <w:t>принятия</w:t>
      </w:r>
      <w:r w:rsidR="00BC02A0" w:rsidRPr="003F6E95">
        <w:rPr>
          <w:rFonts w:ascii="Times New Roman" w:hAnsi="Times New Roman" w:cs="Times New Roman"/>
          <w:sz w:val="27"/>
          <w:szCs w:val="27"/>
        </w:rPr>
        <w:t xml:space="preserve"> инвестиционных решений.</w:t>
      </w:r>
    </w:p>
    <w:p w:rsidR="009114EF" w:rsidRPr="003F6E95" w:rsidRDefault="009114EF" w:rsidP="003F6E95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3F6E95">
        <w:rPr>
          <w:rFonts w:ascii="Times New Roman" w:hAnsi="Times New Roman" w:cs="Times New Roman"/>
          <w:sz w:val="27"/>
          <w:szCs w:val="27"/>
        </w:rPr>
        <w:t xml:space="preserve">Данные о реализациях </w:t>
      </w:r>
      <w:r w:rsidR="00A211D7" w:rsidRPr="003F6E95">
        <w:rPr>
          <w:rFonts w:ascii="Times New Roman" w:hAnsi="Times New Roman" w:cs="Times New Roman"/>
          <w:sz w:val="27"/>
          <w:szCs w:val="27"/>
        </w:rPr>
        <w:t xml:space="preserve">либо </w:t>
      </w:r>
      <w:r w:rsidRPr="003F6E95">
        <w:rPr>
          <w:rFonts w:ascii="Times New Roman" w:hAnsi="Times New Roman" w:cs="Times New Roman"/>
          <w:sz w:val="27"/>
          <w:szCs w:val="27"/>
        </w:rPr>
        <w:t xml:space="preserve"> возможных реализациях рисков фиксируются в базе данных</w:t>
      </w:r>
      <w:r w:rsidR="00625200" w:rsidRPr="003F6E95">
        <w:rPr>
          <w:rFonts w:ascii="Times New Roman" w:hAnsi="Times New Roman" w:cs="Times New Roman"/>
          <w:sz w:val="27"/>
          <w:szCs w:val="27"/>
        </w:rPr>
        <w:t>. Н</w:t>
      </w:r>
      <w:r w:rsidRPr="003F6E95">
        <w:rPr>
          <w:rFonts w:ascii="Times New Roman" w:hAnsi="Times New Roman" w:cs="Times New Roman"/>
          <w:sz w:val="27"/>
          <w:szCs w:val="27"/>
        </w:rPr>
        <w:t>а основе таких данных осуществляется пересмотр процедур, функций и вну</w:t>
      </w:r>
      <w:r w:rsidR="00625200" w:rsidRPr="003F6E95">
        <w:rPr>
          <w:rFonts w:ascii="Times New Roman" w:hAnsi="Times New Roman" w:cs="Times New Roman"/>
          <w:sz w:val="27"/>
          <w:szCs w:val="27"/>
        </w:rPr>
        <w:t>тренних документов системы риск-</w:t>
      </w:r>
      <w:r w:rsidRPr="003F6E95">
        <w:rPr>
          <w:rFonts w:ascii="Times New Roman" w:hAnsi="Times New Roman" w:cs="Times New Roman"/>
          <w:sz w:val="27"/>
          <w:szCs w:val="27"/>
        </w:rPr>
        <w:t xml:space="preserve">менеджмент. </w:t>
      </w:r>
      <w:r w:rsidR="00A211D7" w:rsidRPr="003F6E95">
        <w:rPr>
          <w:rFonts w:ascii="Times New Roman" w:hAnsi="Times New Roman" w:cs="Times New Roman"/>
          <w:sz w:val="27"/>
          <w:szCs w:val="27"/>
        </w:rPr>
        <w:t xml:space="preserve">Регулярно проводится тестирование моделей оценки и выявления рисков Фонда. </w:t>
      </w:r>
      <w:r w:rsidRPr="003F6E95">
        <w:rPr>
          <w:rFonts w:ascii="Times New Roman" w:hAnsi="Times New Roman" w:cs="Times New Roman"/>
          <w:sz w:val="27"/>
          <w:szCs w:val="27"/>
        </w:rPr>
        <w:t xml:space="preserve">Процедуры и функции системы риск-менеджмент </w:t>
      </w:r>
      <w:r w:rsidR="00A211D7" w:rsidRPr="003F6E95">
        <w:rPr>
          <w:rFonts w:ascii="Times New Roman" w:hAnsi="Times New Roman" w:cs="Times New Roman"/>
          <w:sz w:val="27"/>
          <w:szCs w:val="27"/>
        </w:rPr>
        <w:t xml:space="preserve">пересматриваются в случае появления новых (более эффективных) методик, стандартов, рекомендаций и требований к системе риск-менеджмент. </w:t>
      </w:r>
    </w:p>
    <w:p w:rsidR="00A211D7" w:rsidRPr="003F6E95" w:rsidRDefault="00442746" w:rsidP="003F6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6E95">
        <w:rPr>
          <w:rFonts w:ascii="Times New Roman" w:hAnsi="Times New Roman" w:cs="Times New Roman"/>
          <w:sz w:val="27"/>
          <w:szCs w:val="27"/>
        </w:rPr>
        <w:t>Кризис 2008 года показал всю несостоятельность действующей на тот момент системы «доверительного» управления, выявив «слабости» не только негосударственных пенсионных фондов, но и систем управления рисками</w:t>
      </w:r>
      <w:r w:rsidR="00D4786B" w:rsidRPr="003F6E95">
        <w:rPr>
          <w:rFonts w:ascii="Times New Roman" w:hAnsi="Times New Roman" w:cs="Times New Roman"/>
          <w:sz w:val="27"/>
          <w:szCs w:val="27"/>
        </w:rPr>
        <w:t xml:space="preserve">  </w:t>
      </w:r>
      <w:r w:rsidRPr="003F6E95">
        <w:rPr>
          <w:rFonts w:ascii="Times New Roman" w:hAnsi="Times New Roman" w:cs="Times New Roman"/>
          <w:sz w:val="27"/>
          <w:szCs w:val="27"/>
        </w:rPr>
        <w:t xml:space="preserve">управляющих компаний. На это неоднократно указывали </w:t>
      </w:r>
      <w:proofErr w:type="gramStart"/>
      <w:r w:rsidRPr="003F6E95">
        <w:rPr>
          <w:rFonts w:ascii="Times New Roman" w:hAnsi="Times New Roman" w:cs="Times New Roman"/>
          <w:sz w:val="27"/>
          <w:szCs w:val="27"/>
        </w:rPr>
        <w:t>представители</w:t>
      </w:r>
      <w:proofErr w:type="gramEnd"/>
      <w:r w:rsidR="00D4786B" w:rsidRPr="003F6E95">
        <w:rPr>
          <w:rFonts w:ascii="Times New Roman" w:hAnsi="Times New Roman" w:cs="Times New Roman"/>
          <w:sz w:val="27"/>
          <w:szCs w:val="27"/>
        </w:rPr>
        <w:t xml:space="preserve"> как</w:t>
      </w:r>
      <w:r w:rsidRPr="003F6E95">
        <w:rPr>
          <w:rFonts w:ascii="Times New Roman" w:hAnsi="Times New Roman" w:cs="Times New Roman"/>
          <w:sz w:val="27"/>
          <w:szCs w:val="27"/>
        </w:rPr>
        <w:t xml:space="preserve"> пенсионн</w:t>
      </w:r>
      <w:r w:rsidR="00D4786B" w:rsidRPr="003F6E95">
        <w:rPr>
          <w:rFonts w:ascii="Times New Roman" w:hAnsi="Times New Roman" w:cs="Times New Roman"/>
          <w:sz w:val="27"/>
          <w:szCs w:val="27"/>
        </w:rPr>
        <w:t>ых</w:t>
      </w:r>
      <w:r w:rsidRPr="003F6E95">
        <w:rPr>
          <w:rFonts w:ascii="Times New Roman" w:hAnsi="Times New Roman" w:cs="Times New Roman"/>
          <w:sz w:val="27"/>
          <w:szCs w:val="27"/>
        </w:rPr>
        <w:t xml:space="preserve"> </w:t>
      </w:r>
      <w:r w:rsidR="00D4786B" w:rsidRPr="003F6E95">
        <w:rPr>
          <w:rFonts w:ascii="Times New Roman" w:hAnsi="Times New Roman" w:cs="Times New Roman"/>
          <w:sz w:val="27"/>
          <w:szCs w:val="27"/>
        </w:rPr>
        <w:t>фондов так и самих управляющих компаний</w:t>
      </w:r>
      <w:r w:rsidRPr="003F6E95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442746" w:rsidRPr="003F6E95" w:rsidRDefault="002A1015" w:rsidP="003F6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6E95">
        <w:rPr>
          <w:rFonts w:ascii="Times New Roman" w:hAnsi="Times New Roman" w:cs="Times New Roman"/>
          <w:sz w:val="27"/>
          <w:szCs w:val="27"/>
        </w:rPr>
        <w:t>Б</w:t>
      </w:r>
      <w:r w:rsidR="00442746" w:rsidRPr="003F6E95">
        <w:rPr>
          <w:rFonts w:ascii="Times New Roman" w:hAnsi="Times New Roman" w:cs="Times New Roman"/>
          <w:sz w:val="27"/>
          <w:szCs w:val="27"/>
        </w:rPr>
        <w:t xml:space="preserve">ыл </w:t>
      </w:r>
      <w:r w:rsidRPr="003F6E95">
        <w:rPr>
          <w:rFonts w:ascii="Times New Roman" w:hAnsi="Times New Roman" w:cs="Times New Roman"/>
          <w:sz w:val="27"/>
          <w:szCs w:val="27"/>
        </w:rPr>
        <w:t xml:space="preserve">ли </w:t>
      </w:r>
      <w:r w:rsidR="00442746" w:rsidRPr="003F6E95">
        <w:rPr>
          <w:rFonts w:ascii="Times New Roman" w:hAnsi="Times New Roman" w:cs="Times New Roman"/>
          <w:sz w:val="27"/>
          <w:szCs w:val="27"/>
        </w:rPr>
        <w:t>учтен опыт 2008 года</w:t>
      </w:r>
      <w:r w:rsidRPr="003F6E95">
        <w:rPr>
          <w:rFonts w:ascii="Times New Roman" w:hAnsi="Times New Roman" w:cs="Times New Roman"/>
          <w:sz w:val="27"/>
          <w:szCs w:val="27"/>
        </w:rPr>
        <w:t>?</w:t>
      </w:r>
      <w:r w:rsidR="005C791F" w:rsidRPr="003F6E95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5C791F" w:rsidRPr="003F6E95">
        <w:rPr>
          <w:rFonts w:ascii="Times New Roman" w:hAnsi="Times New Roman" w:cs="Times New Roman"/>
          <w:sz w:val="27"/>
          <w:szCs w:val="27"/>
        </w:rPr>
        <w:t>В течение 2014 год</w:t>
      </w:r>
      <w:r w:rsidR="00A211D7" w:rsidRPr="003F6E95">
        <w:rPr>
          <w:rFonts w:ascii="Times New Roman" w:hAnsi="Times New Roman" w:cs="Times New Roman"/>
          <w:sz w:val="27"/>
          <w:szCs w:val="27"/>
        </w:rPr>
        <w:t>а</w:t>
      </w:r>
      <w:r w:rsidR="005C791F" w:rsidRPr="003F6E95">
        <w:rPr>
          <w:rFonts w:ascii="Times New Roman" w:hAnsi="Times New Roman" w:cs="Times New Roman"/>
          <w:sz w:val="27"/>
          <w:szCs w:val="27"/>
        </w:rPr>
        <w:t>, в</w:t>
      </w:r>
      <w:r w:rsidR="00442746" w:rsidRPr="003F6E95">
        <w:rPr>
          <w:rFonts w:ascii="Times New Roman" w:hAnsi="Times New Roman" w:cs="Times New Roman"/>
          <w:sz w:val="27"/>
          <w:szCs w:val="27"/>
        </w:rPr>
        <w:t xml:space="preserve"> условиях </w:t>
      </w:r>
      <w:proofErr w:type="spellStart"/>
      <w:r w:rsidR="00442746" w:rsidRPr="003F6E95">
        <w:rPr>
          <w:rFonts w:ascii="Times New Roman" w:hAnsi="Times New Roman" w:cs="Times New Roman"/>
          <w:sz w:val="27"/>
          <w:szCs w:val="27"/>
        </w:rPr>
        <w:t>санкционного</w:t>
      </w:r>
      <w:proofErr w:type="spellEnd"/>
      <w:r w:rsidR="00442746" w:rsidRPr="003F6E95">
        <w:rPr>
          <w:rFonts w:ascii="Times New Roman" w:hAnsi="Times New Roman" w:cs="Times New Roman"/>
          <w:sz w:val="27"/>
          <w:szCs w:val="27"/>
        </w:rPr>
        <w:t xml:space="preserve"> давления, снижения стоимости нефтяны</w:t>
      </w:r>
      <w:r w:rsidR="005C791F" w:rsidRPr="003F6E95">
        <w:rPr>
          <w:rFonts w:ascii="Times New Roman" w:hAnsi="Times New Roman" w:cs="Times New Roman"/>
          <w:sz w:val="27"/>
          <w:szCs w:val="27"/>
        </w:rPr>
        <w:t>х</w:t>
      </w:r>
      <w:r w:rsidR="00442746" w:rsidRPr="003F6E95">
        <w:rPr>
          <w:rFonts w:ascii="Times New Roman" w:hAnsi="Times New Roman" w:cs="Times New Roman"/>
          <w:sz w:val="27"/>
          <w:szCs w:val="27"/>
        </w:rPr>
        <w:t xml:space="preserve"> продукт</w:t>
      </w:r>
      <w:r w:rsidR="005C791F" w:rsidRPr="003F6E95">
        <w:rPr>
          <w:rFonts w:ascii="Times New Roman" w:hAnsi="Times New Roman" w:cs="Times New Roman"/>
          <w:sz w:val="27"/>
          <w:szCs w:val="27"/>
        </w:rPr>
        <w:t>ов</w:t>
      </w:r>
      <w:r w:rsidR="00A14B8F" w:rsidRPr="003F6E95">
        <w:rPr>
          <w:rFonts w:ascii="Times New Roman" w:hAnsi="Times New Roman" w:cs="Times New Roman"/>
          <w:sz w:val="27"/>
          <w:szCs w:val="27"/>
        </w:rPr>
        <w:t>, падения национальной валюты</w:t>
      </w:r>
      <w:r w:rsidR="00442746" w:rsidRPr="003F6E95">
        <w:rPr>
          <w:rFonts w:ascii="Times New Roman" w:hAnsi="Times New Roman" w:cs="Times New Roman"/>
          <w:sz w:val="27"/>
          <w:szCs w:val="27"/>
        </w:rPr>
        <w:t xml:space="preserve"> </w:t>
      </w:r>
      <w:r w:rsidR="00442746" w:rsidRPr="003F6E95">
        <w:rPr>
          <w:rFonts w:ascii="Times New Roman" w:hAnsi="Times New Roman" w:cs="Times New Roman"/>
          <w:sz w:val="27"/>
          <w:szCs w:val="27"/>
        </w:rPr>
        <w:lastRenderedPageBreak/>
        <w:t xml:space="preserve">наблюдался рост процентных ставок, снижение ликвидности на рынке долговых ценных бумаг, сильные колебания фондового индекса, понижение рейтингов Российской Федерации международными рейтинговыми агентствами, отток капитала, снижение спроса, </w:t>
      </w:r>
      <w:r w:rsidR="00A211D7" w:rsidRPr="003F6E95">
        <w:rPr>
          <w:rFonts w:ascii="Times New Roman" w:hAnsi="Times New Roman" w:cs="Times New Roman"/>
          <w:sz w:val="27"/>
          <w:szCs w:val="27"/>
        </w:rPr>
        <w:t xml:space="preserve">ухудшение </w:t>
      </w:r>
      <w:r w:rsidR="00442746" w:rsidRPr="003F6E95">
        <w:rPr>
          <w:rFonts w:ascii="Times New Roman" w:hAnsi="Times New Roman" w:cs="Times New Roman"/>
          <w:sz w:val="27"/>
          <w:szCs w:val="27"/>
        </w:rPr>
        <w:t>деловой активности и прочие признаки кризиса в экономике страны.</w:t>
      </w:r>
      <w:proofErr w:type="gramEnd"/>
      <w:r w:rsidR="00442746" w:rsidRPr="003F6E95">
        <w:rPr>
          <w:rFonts w:ascii="Times New Roman" w:hAnsi="Times New Roman" w:cs="Times New Roman"/>
          <w:sz w:val="27"/>
          <w:szCs w:val="27"/>
        </w:rPr>
        <w:t xml:space="preserve"> </w:t>
      </w:r>
      <w:r w:rsidRPr="003F6E95">
        <w:rPr>
          <w:rFonts w:ascii="Times New Roman" w:hAnsi="Times New Roman" w:cs="Times New Roman"/>
          <w:sz w:val="27"/>
          <w:szCs w:val="27"/>
        </w:rPr>
        <w:t xml:space="preserve">По результатам 2014 года </w:t>
      </w:r>
      <w:r w:rsidR="00442746" w:rsidRPr="003F6E95">
        <w:rPr>
          <w:rFonts w:ascii="Times New Roman" w:hAnsi="Times New Roman" w:cs="Times New Roman"/>
          <w:sz w:val="27"/>
          <w:szCs w:val="27"/>
        </w:rPr>
        <w:t xml:space="preserve">11 из 41 управляющих компаний осуществляющих инвестирование средств </w:t>
      </w:r>
      <w:r w:rsidR="005C791F" w:rsidRPr="003F6E95">
        <w:rPr>
          <w:rFonts w:ascii="Times New Roman" w:hAnsi="Times New Roman" w:cs="Times New Roman"/>
          <w:sz w:val="27"/>
          <w:szCs w:val="27"/>
        </w:rPr>
        <w:t xml:space="preserve">пенсионных накоплений </w:t>
      </w:r>
      <w:r w:rsidR="00442746" w:rsidRPr="003F6E95">
        <w:rPr>
          <w:rFonts w:ascii="Times New Roman" w:hAnsi="Times New Roman" w:cs="Times New Roman"/>
          <w:sz w:val="27"/>
          <w:szCs w:val="27"/>
        </w:rPr>
        <w:t xml:space="preserve">показали отрицательную доходность. Средняя доходность управляющих компаний </w:t>
      </w:r>
      <w:r w:rsidRPr="003F6E95">
        <w:rPr>
          <w:rFonts w:ascii="Times New Roman" w:hAnsi="Times New Roman" w:cs="Times New Roman"/>
          <w:sz w:val="27"/>
          <w:szCs w:val="27"/>
        </w:rPr>
        <w:t>составила</w:t>
      </w:r>
      <w:r w:rsidR="00442746" w:rsidRPr="003F6E95">
        <w:rPr>
          <w:rFonts w:ascii="Times New Roman" w:hAnsi="Times New Roman" w:cs="Times New Roman"/>
          <w:sz w:val="27"/>
          <w:szCs w:val="27"/>
        </w:rPr>
        <w:t xml:space="preserve"> 1,35%.</w:t>
      </w:r>
      <w:r w:rsidRPr="003F6E95">
        <w:rPr>
          <w:rFonts w:ascii="Times New Roman" w:hAnsi="Times New Roman" w:cs="Times New Roman"/>
          <w:sz w:val="27"/>
          <w:szCs w:val="27"/>
        </w:rPr>
        <w:t xml:space="preserve"> По результатам 2014 года</w:t>
      </w:r>
      <w:r w:rsidR="00D4786B" w:rsidRPr="003F6E95">
        <w:rPr>
          <w:rFonts w:ascii="Times New Roman" w:hAnsi="Times New Roman" w:cs="Times New Roman"/>
          <w:sz w:val="27"/>
          <w:szCs w:val="27"/>
        </w:rPr>
        <w:t xml:space="preserve"> все </w:t>
      </w:r>
      <w:r w:rsidR="001C1E43" w:rsidRPr="003F6E95">
        <w:rPr>
          <w:rFonts w:ascii="Times New Roman" w:hAnsi="Times New Roman" w:cs="Times New Roman"/>
          <w:sz w:val="27"/>
          <w:szCs w:val="27"/>
        </w:rPr>
        <w:t>НПФ</w:t>
      </w:r>
      <w:r w:rsidR="00D4786B" w:rsidRPr="003F6E95">
        <w:rPr>
          <w:rFonts w:ascii="Times New Roman" w:hAnsi="Times New Roman" w:cs="Times New Roman"/>
          <w:sz w:val="27"/>
          <w:szCs w:val="27"/>
        </w:rPr>
        <w:t xml:space="preserve"> из</w:t>
      </w:r>
      <w:r w:rsidRPr="003F6E95">
        <w:rPr>
          <w:rFonts w:ascii="Times New Roman" w:hAnsi="Times New Roman" w:cs="Times New Roman"/>
          <w:sz w:val="27"/>
          <w:szCs w:val="27"/>
        </w:rPr>
        <w:t xml:space="preserve"> Топ</w:t>
      </w:r>
      <w:r w:rsidR="00D4786B" w:rsidRPr="003F6E95">
        <w:rPr>
          <w:rFonts w:ascii="Times New Roman" w:hAnsi="Times New Roman" w:cs="Times New Roman"/>
          <w:sz w:val="27"/>
          <w:szCs w:val="27"/>
        </w:rPr>
        <w:t>-</w:t>
      </w:r>
      <w:r w:rsidRPr="003F6E95">
        <w:rPr>
          <w:rFonts w:ascii="Times New Roman" w:hAnsi="Times New Roman" w:cs="Times New Roman"/>
          <w:sz w:val="27"/>
          <w:szCs w:val="27"/>
        </w:rPr>
        <w:t xml:space="preserve">10 (по объему пенсионных накоплений) показали положительную доходность инвестирования пенсионных накоплений (средняя доходность таких фондов составила 3,61%). </w:t>
      </w:r>
      <w:r w:rsidR="00BB23CF" w:rsidRPr="003F6E95">
        <w:rPr>
          <w:rFonts w:ascii="Times New Roman" w:hAnsi="Times New Roman" w:cs="Times New Roman"/>
          <w:sz w:val="27"/>
          <w:szCs w:val="27"/>
        </w:rPr>
        <w:t xml:space="preserve">Доходность инвестиционного портфеля пенсионных накоплений </w:t>
      </w:r>
      <w:r w:rsidRPr="003F6E95">
        <w:rPr>
          <w:rFonts w:ascii="Times New Roman" w:hAnsi="Times New Roman" w:cs="Times New Roman"/>
          <w:sz w:val="27"/>
          <w:szCs w:val="27"/>
        </w:rPr>
        <w:t xml:space="preserve">НПФ </w:t>
      </w:r>
      <w:r w:rsidR="00442746" w:rsidRPr="003F6E95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442746" w:rsidRPr="003F6E95">
        <w:rPr>
          <w:rFonts w:ascii="Times New Roman" w:hAnsi="Times New Roman" w:cs="Times New Roman"/>
          <w:sz w:val="27"/>
          <w:szCs w:val="27"/>
        </w:rPr>
        <w:t>Атомгарант</w:t>
      </w:r>
      <w:proofErr w:type="spellEnd"/>
      <w:r w:rsidR="00442746" w:rsidRPr="003F6E95">
        <w:rPr>
          <w:rFonts w:ascii="Times New Roman" w:hAnsi="Times New Roman" w:cs="Times New Roman"/>
          <w:sz w:val="27"/>
          <w:szCs w:val="27"/>
        </w:rPr>
        <w:t xml:space="preserve">» по результатам 2014 год </w:t>
      </w:r>
      <w:r w:rsidR="00BB23CF" w:rsidRPr="003F6E95">
        <w:rPr>
          <w:rFonts w:ascii="Times New Roman" w:hAnsi="Times New Roman" w:cs="Times New Roman"/>
          <w:sz w:val="27"/>
          <w:szCs w:val="27"/>
        </w:rPr>
        <w:t>составила</w:t>
      </w:r>
      <w:r w:rsidR="00442746" w:rsidRPr="003F6E95">
        <w:rPr>
          <w:rFonts w:ascii="Times New Roman" w:hAnsi="Times New Roman" w:cs="Times New Roman"/>
          <w:sz w:val="27"/>
          <w:szCs w:val="27"/>
        </w:rPr>
        <w:t xml:space="preserve"> 4,55%</w:t>
      </w:r>
      <w:r w:rsidRPr="003F6E95">
        <w:rPr>
          <w:rFonts w:ascii="Times New Roman" w:hAnsi="Times New Roman" w:cs="Times New Roman"/>
          <w:sz w:val="27"/>
          <w:szCs w:val="27"/>
        </w:rPr>
        <w:t>.</w:t>
      </w:r>
    </w:p>
    <w:p w:rsidR="005D3573" w:rsidRPr="003F6E95" w:rsidRDefault="005D3573" w:rsidP="003F6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C3A0C" w:rsidRDefault="002C3A0C" w:rsidP="00CE4D89">
      <w:pPr>
        <w:jc w:val="both"/>
        <w:rPr>
          <w:rFonts w:ascii="Times New Roman" w:hAnsi="Times New Roman" w:cs="Times New Roman"/>
        </w:rPr>
      </w:pPr>
    </w:p>
    <w:p w:rsidR="002C3A0C" w:rsidRDefault="002C3A0C" w:rsidP="00CE4D89">
      <w:pPr>
        <w:jc w:val="both"/>
        <w:rPr>
          <w:rFonts w:ascii="Times New Roman" w:hAnsi="Times New Roman" w:cs="Times New Roman"/>
        </w:rPr>
      </w:pPr>
    </w:p>
    <w:sectPr w:rsidR="002C3A0C" w:rsidSect="003F6E95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216" w:rsidRDefault="00FA7216" w:rsidP="00AC24F5">
      <w:pPr>
        <w:spacing w:after="0" w:line="240" w:lineRule="auto"/>
      </w:pPr>
      <w:r>
        <w:separator/>
      </w:r>
    </w:p>
  </w:endnote>
  <w:endnote w:type="continuationSeparator" w:id="0">
    <w:p w:rsidR="00FA7216" w:rsidRDefault="00FA7216" w:rsidP="00AC2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216" w:rsidRDefault="00FA7216" w:rsidP="00AC24F5">
      <w:pPr>
        <w:spacing w:after="0" w:line="240" w:lineRule="auto"/>
      </w:pPr>
      <w:r>
        <w:separator/>
      </w:r>
    </w:p>
  </w:footnote>
  <w:footnote w:type="continuationSeparator" w:id="0">
    <w:p w:rsidR="00FA7216" w:rsidRDefault="00FA7216" w:rsidP="00AC24F5">
      <w:pPr>
        <w:spacing w:after="0" w:line="240" w:lineRule="auto"/>
      </w:pPr>
      <w:r>
        <w:continuationSeparator/>
      </w:r>
    </w:p>
  </w:footnote>
  <w:footnote w:id="1">
    <w:p w:rsidR="00C31FE7" w:rsidRPr="003D0277" w:rsidRDefault="00C31FE7">
      <w:pPr>
        <w:pStyle w:val="a7"/>
        <w:rPr>
          <w:rFonts w:ascii="Times New Roman" w:hAnsi="Times New Roman" w:cs="Times New Roman"/>
          <w:lang w:val="en-US"/>
        </w:rPr>
      </w:pPr>
      <w:r>
        <w:rPr>
          <w:rStyle w:val="a9"/>
        </w:rPr>
        <w:footnoteRef/>
      </w:r>
      <w:r w:rsidRPr="00C31FE7">
        <w:rPr>
          <w:lang w:val="en-US"/>
        </w:rPr>
        <w:t xml:space="preserve"> </w:t>
      </w:r>
      <w:r w:rsidRPr="00C81BDC">
        <w:rPr>
          <w:rFonts w:ascii="Times New Roman" w:hAnsi="Times New Roman" w:cs="Times New Roman"/>
        </w:rPr>
        <w:t>Исследование</w:t>
      </w:r>
      <w:r w:rsidRPr="00C81BDC">
        <w:rPr>
          <w:rFonts w:ascii="Times New Roman" w:hAnsi="Times New Roman" w:cs="Times New Roman"/>
          <w:lang w:val="en-US"/>
        </w:rPr>
        <w:t xml:space="preserve"> </w:t>
      </w:r>
      <w:r w:rsidR="008218F4" w:rsidRPr="00C81BDC">
        <w:rPr>
          <w:rFonts w:ascii="Times New Roman" w:hAnsi="Times New Roman" w:cs="Times New Roman"/>
        </w:rPr>
        <w:t>поведения</w:t>
      </w:r>
      <w:r w:rsidR="008218F4" w:rsidRPr="00C81BDC">
        <w:rPr>
          <w:rFonts w:ascii="Times New Roman" w:hAnsi="Times New Roman" w:cs="Times New Roman"/>
          <w:lang w:val="en-US"/>
        </w:rPr>
        <w:t xml:space="preserve"> </w:t>
      </w:r>
      <w:r w:rsidR="008218F4" w:rsidRPr="00C81BDC">
        <w:rPr>
          <w:rFonts w:ascii="Times New Roman" w:hAnsi="Times New Roman" w:cs="Times New Roman"/>
        </w:rPr>
        <w:t>корреляции</w:t>
      </w:r>
      <w:r w:rsidR="008218F4" w:rsidRPr="00C81BDC">
        <w:rPr>
          <w:rFonts w:ascii="Times New Roman" w:hAnsi="Times New Roman" w:cs="Times New Roman"/>
          <w:lang w:val="en-US"/>
        </w:rPr>
        <w:t xml:space="preserve"> </w:t>
      </w:r>
      <w:r w:rsidR="008218F4" w:rsidRPr="00C81BDC">
        <w:rPr>
          <w:rFonts w:ascii="Times New Roman" w:hAnsi="Times New Roman" w:cs="Times New Roman"/>
        </w:rPr>
        <w:t>в</w:t>
      </w:r>
      <w:r w:rsidR="008218F4" w:rsidRPr="00C81BDC">
        <w:rPr>
          <w:rFonts w:ascii="Times New Roman" w:hAnsi="Times New Roman" w:cs="Times New Roman"/>
          <w:lang w:val="en-US"/>
        </w:rPr>
        <w:t xml:space="preserve"> </w:t>
      </w:r>
      <w:r w:rsidR="008218F4" w:rsidRPr="00C81BDC">
        <w:rPr>
          <w:rFonts w:ascii="Times New Roman" w:hAnsi="Times New Roman" w:cs="Times New Roman"/>
        </w:rPr>
        <w:t>условиях</w:t>
      </w:r>
      <w:r w:rsidR="008218F4" w:rsidRPr="00C81BDC">
        <w:rPr>
          <w:rFonts w:ascii="Times New Roman" w:hAnsi="Times New Roman" w:cs="Times New Roman"/>
          <w:lang w:val="en-US"/>
        </w:rPr>
        <w:t xml:space="preserve"> </w:t>
      </w:r>
      <w:r w:rsidR="008218F4" w:rsidRPr="00C81BDC">
        <w:rPr>
          <w:rFonts w:ascii="Times New Roman" w:hAnsi="Times New Roman" w:cs="Times New Roman"/>
        </w:rPr>
        <w:t>кризиса</w:t>
      </w:r>
      <w:r w:rsidR="008218F4" w:rsidRPr="003D0277">
        <w:rPr>
          <w:rFonts w:ascii="Times New Roman" w:hAnsi="Times New Roman" w:cs="Times New Roman"/>
          <w:lang w:val="en-US"/>
        </w:rPr>
        <w:t>:</w:t>
      </w:r>
      <w:r w:rsidRPr="003D0277">
        <w:rPr>
          <w:rFonts w:ascii="Times New Roman" w:hAnsi="Times New Roman" w:cs="Times New Roman"/>
          <w:lang w:val="en-US"/>
        </w:rPr>
        <w:t xml:space="preserve"> </w:t>
      </w:r>
      <w:r w:rsidR="00C81BDC" w:rsidRPr="003D0277">
        <w:rPr>
          <w:rFonts w:ascii="Times New Roman" w:hAnsi="Times New Roman" w:cs="Times New Roman"/>
          <w:lang w:val="en-US"/>
        </w:rPr>
        <w:t>Gunter Meissner, Correlation Risk Modeling and Management (New York: Wiley, 2014).</w:t>
      </w:r>
    </w:p>
  </w:footnote>
  <w:footnote w:id="2">
    <w:p w:rsidR="008E5197" w:rsidRDefault="008E5197">
      <w:pPr>
        <w:pStyle w:val="a7"/>
      </w:pPr>
      <w:r>
        <w:rPr>
          <w:rStyle w:val="a9"/>
        </w:rPr>
        <w:footnoteRef/>
      </w:r>
      <w:r>
        <w:t xml:space="preserve"> </w:t>
      </w:r>
      <w:r w:rsidRPr="008E5197">
        <w:rPr>
          <w:rFonts w:ascii="Times New Roman" w:hAnsi="Times New Roman" w:cs="Times New Roman"/>
        </w:rPr>
        <w:t>Расчет</w:t>
      </w:r>
      <w:r>
        <w:rPr>
          <w:rFonts w:ascii="Times New Roman" w:hAnsi="Times New Roman" w:cs="Times New Roman"/>
        </w:rPr>
        <w:t>ным периодом для определения</w:t>
      </w:r>
      <w:r w:rsidRPr="008E5197">
        <w:rPr>
          <w:rFonts w:ascii="Times New Roman" w:hAnsi="Times New Roman" w:cs="Times New Roman"/>
        </w:rPr>
        <w:t xml:space="preserve"> коэффициента бета</w:t>
      </w:r>
      <w:r>
        <w:rPr>
          <w:rFonts w:ascii="Times New Roman" w:hAnsi="Times New Roman" w:cs="Times New Roman"/>
        </w:rPr>
        <w:t xml:space="preserve"> принимался календарный месяц.</w:t>
      </w:r>
    </w:p>
  </w:footnote>
  <w:footnote w:id="3">
    <w:p w:rsidR="00FD5CBC" w:rsidRDefault="00FD5CBC">
      <w:pPr>
        <w:pStyle w:val="a7"/>
      </w:pPr>
      <w:r>
        <w:rPr>
          <w:rStyle w:val="a9"/>
        </w:rPr>
        <w:footnoteRef/>
      </w:r>
      <w:r>
        <w:t xml:space="preserve"> </w:t>
      </w:r>
      <w:r w:rsidRPr="008E5197">
        <w:rPr>
          <w:rFonts w:ascii="Times New Roman" w:hAnsi="Times New Roman" w:cs="Times New Roman"/>
        </w:rPr>
        <w:t>Расчет</w:t>
      </w:r>
      <w:r>
        <w:rPr>
          <w:rFonts w:ascii="Times New Roman" w:hAnsi="Times New Roman" w:cs="Times New Roman"/>
        </w:rPr>
        <w:t>ным периодом для определения</w:t>
      </w:r>
      <w:r w:rsidRPr="00FD5CBC">
        <w:rPr>
          <w:rFonts w:ascii="Times New Roman" w:hAnsi="Times New Roman" w:cs="Times New Roman"/>
        </w:rPr>
        <w:t xml:space="preserve"> годового</w:t>
      </w:r>
      <w:r>
        <w:rPr>
          <w:rFonts w:ascii="Times New Roman" w:hAnsi="Times New Roman" w:cs="Times New Roman"/>
        </w:rPr>
        <w:t xml:space="preserve"> VAR принимался календарный месяц. Расчет осуществлялся для доверительной вероятности равной 0.95.</w:t>
      </w:r>
    </w:p>
  </w:footnote>
  <w:footnote w:id="4">
    <w:p w:rsidR="00AC24F5" w:rsidRPr="006B392C" w:rsidRDefault="00AC24F5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 w:rsidRPr="007510E3">
        <w:t xml:space="preserve"> </w:t>
      </w:r>
      <w:r w:rsidRPr="00AC24F5">
        <w:rPr>
          <w:rFonts w:ascii="Times New Roman" w:hAnsi="Times New Roman" w:cs="Times New Roman"/>
        </w:rPr>
        <w:t>В</w:t>
      </w:r>
      <w:r w:rsidRPr="007510E3">
        <w:rPr>
          <w:rFonts w:ascii="Times New Roman" w:hAnsi="Times New Roman" w:cs="Times New Roman"/>
        </w:rPr>
        <w:t xml:space="preserve"> </w:t>
      </w:r>
      <w:r w:rsidRPr="00AC24F5">
        <w:rPr>
          <w:rFonts w:ascii="Times New Roman" w:hAnsi="Times New Roman" w:cs="Times New Roman"/>
        </w:rPr>
        <w:t>расчетах</w:t>
      </w:r>
      <w:r w:rsidRPr="007510E3">
        <w:rPr>
          <w:rFonts w:ascii="Times New Roman" w:hAnsi="Times New Roman" w:cs="Times New Roman"/>
        </w:rPr>
        <w:t xml:space="preserve"> </w:t>
      </w:r>
      <w:r w:rsidRPr="00AC24F5">
        <w:rPr>
          <w:rFonts w:ascii="Times New Roman" w:hAnsi="Times New Roman" w:cs="Times New Roman"/>
        </w:rPr>
        <w:t>применялся</w:t>
      </w:r>
      <w:r w:rsidRPr="007510E3">
        <w:rPr>
          <w:rFonts w:ascii="Times New Roman" w:hAnsi="Times New Roman" w:cs="Times New Roman"/>
        </w:rPr>
        <w:t xml:space="preserve"> </w:t>
      </w:r>
      <w:r w:rsidRPr="00AC24F5">
        <w:rPr>
          <w:rFonts w:ascii="Times New Roman" w:hAnsi="Times New Roman" w:cs="Times New Roman"/>
        </w:rPr>
        <w:t>метод</w:t>
      </w:r>
      <w:r w:rsidRPr="007510E3">
        <w:rPr>
          <w:rFonts w:ascii="Times New Roman" w:hAnsi="Times New Roman" w:cs="Times New Roman"/>
        </w:rPr>
        <w:t xml:space="preserve"> </w:t>
      </w:r>
      <w:r w:rsidR="007510E3">
        <w:rPr>
          <w:rFonts w:ascii="Times New Roman" w:hAnsi="Times New Roman" w:cs="Times New Roman"/>
        </w:rPr>
        <w:t>определения стоимости ликвидности</w:t>
      </w:r>
      <w:r w:rsidR="006A7D2C">
        <w:rPr>
          <w:rFonts w:ascii="Times New Roman" w:hAnsi="Times New Roman" w:cs="Times New Roman"/>
        </w:rPr>
        <w:t xml:space="preserve"> основанный на предположении о постоянном спреде</w:t>
      </w:r>
      <w:r w:rsidRPr="007510E3">
        <w:rPr>
          <w:rFonts w:ascii="Times New Roman" w:hAnsi="Times New Roman" w:cs="Times New Roman"/>
        </w:rPr>
        <w:t xml:space="preserve"> (</w:t>
      </w:r>
      <w:r w:rsidRPr="00AC24F5">
        <w:rPr>
          <w:rFonts w:ascii="Times New Roman" w:hAnsi="Times New Roman" w:cs="Times New Roman"/>
          <w:lang w:val="en-US"/>
        </w:rPr>
        <w:t>constant</w:t>
      </w:r>
      <w:r w:rsidRPr="007510E3">
        <w:rPr>
          <w:rFonts w:ascii="Times New Roman" w:hAnsi="Times New Roman" w:cs="Times New Roman"/>
        </w:rPr>
        <w:t xml:space="preserve"> </w:t>
      </w:r>
      <w:r w:rsidRPr="00AC24F5">
        <w:rPr>
          <w:rFonts w:ascii="Times New Roman" w:hAnsi="Times New Roman" w:cs="Times New Roman"/>
          <w:lang w:val="en-US"/>
        </w:rPr>
        <w:t>spread</w:t>
      </w:r>
      <w:r w:rsidRPr="007510E3">
        <w:rPr>
          <w:rFonts w:ascii="Times New Roman" w:hAnsi="Times New Roman" w:cs="Times New Roman"/>
        </w:rPr>
        <w:t xml:space="preserve"> </w:t>
      </w:r>
      <w:r w:rsidRPr="00AC24F5">
        <w:rPr>
          <w:rFonts w:ascii="Times New Roman" w:hAnsi="Times New Roman" w:cs="Times New Roman"/>
          <w:lang w:val="en-US"/>
        </w:rPr>
        <w:t>approach</w:t>
      </w:r>
      <w:r w:rsidRPr="007510E3">
        <w:rPr>
          <w:rFonts w:ascii="Times New Roman" w:hAnsi="Times New Roman" w:cs="Times New Roman"/>
        </w:rPr>
        <w:t xml:space="preserve">): </w:t>
      </w:r>
      <w:r w:rsidRPr="00AC24F5">
        <w:rPr>
          <w:rFonts w:ascii="Times New Roman" w:hAnsi="Times New Roman" w:cs="Times New Roman"/>
          <w:lang w:val="en-US"/>
        </w:rPr>
        <w:t>spread</w:t>
      </w:r>
      <w:r w:rsidRPr="006B392C">
        <w:rPr>
          <w:rFonts w:ascii="Times New Roman" w:hAnsi="Times New Roman" w:cs="Times New Roman"/>
        </w:rPr>
        <w:t>=(</w:t>
      </w:r>
      <w:r w:rsidRPr="00AC24F5">
        <w:rPr>
          <w:rFonts w:ascii="Times New Roman" w:hAnsi="Times New Roman" w:cs="Times New Roman"/>
          <w:lang w:val="en-US"/>
        </w:rPr>
        <w:t>ask</w:t>
      </w:r>
      <w:r w:rsidRPr="006B392C">
        <w:rPr>
          <w:rFonts w:ascii="Times New Roman" w:hAnsi="Times New Roman" w:cs="Times New Roman"/>
        </w:rPr>
        <w:t xml:space="preserve"> </w:t>
      </w:r>
      <w:r w:rsidRPr="00AC24F5">
        <w:rPr>
          <w:rFonts w:ascii="Times New Roman" w:hAnsi="Times New Roman" w:cs="Times New Roman"/>
          <w:lang w:val="en-US"/>
        </w:rPr>
        <w:t>price</w:t>
      </w:r>
      <w:r w:rsidRPr="006B392C">
        <w:rPr>
          <w:rFonts w:ascii="Times New Roman" w:hAnsi="Times New Roman" w:cs="Times New Roman"/>
        </w:rPr>
        <w:t xml:space="preserve"> - </w:t>
      </w:r>
      <w:r w:rsidRPr="00AC24F5">
        <w:rPr>
          <w:rFonts w:ascii="Times New Roman" w:hAnsi="Times New Roman" w:cs="Times New Roman"/>
          <w:lang w:val="en-US"/>
        </w:rPr>
        <w:t>bid</w:t>
      </w:r>
      <w:r w:rsidRPr="006B392C">
        <w:rPr>
          <w:rFonts w:ascii="Times New Roman" w:hAnsi="Times New Roman" w:cs="Times New Roman"/>
        </w:rPr>
        <w:t xml:space="preserve"> </w:t>
      </w:r>
      <w:r w:rsidRPr="00AC24F5">
        <w:rPr>
          <w:rFonts w:ascii="Times New Roman" w:hAnsi="Times New Roman" w:cs="Times New Roman"/>
          <w:lang w:val="en-US"/>
        </w:rPr>
        <w:t>price</w:t>
      </w:r>
      <w:r w:rsidRPr="006B392C">
        <w:rPr>
          <w:rFonts w:ascii="Times New Roman" w:hAnsi="Times New Roman" w:cs="Times New Roman"/>
        </w:rPr>
        <w:t>)*2/</w:t>
      </w:r>
      <w:proofErr w:type="gramStart"/>
      <w:r w:rsidRPr="006B392C">
        <w:rPr>
          <w:rFonts w:ascii="Times New Roman" w:hAnsi="Times New Roman" w:cs="Times New Roman"/>
        </w:rPr>
        <w:t xml:space="preserve">( </w:t>
      </w:r>
      <w:proofErr w:type="gramEnd"/>
      <w:r w:rsidRPr="00AC24F5">
        <w:rPr>
          <w:rFonts w:ascii="Times New Roman" w:hAnsi="Times New Roman" w:cs="Times New Roman"/>
          <w:lang w:val="en-US"/>
        </w:rPr>
        <w:t>ask</w:t>
      </w:r>
      <w:r w:rsidRPr="006B392C">
        <w:rPr>
          <w:rFonts w:ascii="Times New Roman" w:hAnsi="Times New Roman" w:cs="Times New Roman"/>
        </w:rPr>
        <w:t xml:space="preserve"> </w:t>
      </w:r>
      <w:r w:rsidRPr="00AC24F5">
        <w:rPr>
          <w:rFonts w:ascii="Times New Roman" w:hAnsi="Times New Roman" w:cs="Times New Roman"/>
          <w:lang w:val="en-US"/>
        </w:rPr>
        <w:t>price</w:t>
      </w:r>
      <w:r w:rsidRPr="006B392C">
        <w:rPr>
          <w:rFonts w:ascii="Times New Roman" w:hAnsi="Times New Roman" w:cs="Times New Roman"/>
        </w:rPr>
        <w:t xml:space="preserve"> + </w:t>
      </w:r>
      <w:r w:rsidRPr="00AC24F5">
        <w:rPr>
          <w:rFonts w:ascii="Times New Roman" w:hAnsi="Times New Roman" w:cs="Times New Roman"/>
          <w:lang w:val="en-US"/>
        </w:rPr>
        <w:t>bid</w:t>
      </w:r>
      <w:r w:rsidRPr="006B392C">
        <w:rPr>
          <w:rFonts w:ascii="Times New Roman" w:hAnsi="Times New Roman" w:cs="Times New Roman"/>
        </w:rPr>
        <w:t xml:space="preserve"> </w:t>
      </w:r>
      <w:r w:rsidRPr="00AC24F5">
        <w:rPr>
          <w:rFonts w:ascii="Times New Roman" w:hAnsi="Times New Roman" w:cs="Times New Roman"/>
          <w:lang w:val="en-US"/>
        </w:rPr>
        <w:t>price</w:t>
      </w:r>
      <w:r w:rsidRPr="006B392C">
        <w:rPr>
          <w:rFonts w:ascii="Times New Roman" w:hAnsi="Times New Roman" w:cs="Times New Roman"/>
        </w:rPr>
        <w:t>)</w:t>
      </w:r>
    </w:p>
  </w:footnote>
  <w:footnote w:id="5">
    <w:p w:rsidR="00A0308A" w:rsidRDefault="00A0308A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Показатель </w:t>
      </w:r>
      <w:r>
        <w:rPr>
          <w:rFonts w:ascii="Times New Roman" w:hAnsi="Times New Roman" w:cs="Times New Roman"/>
          <w:lang w:val="en-US"/>
        </w:rPr>
        <w:t>VAR</w:t>
      </w:r>
      <w:r w:rsidRPr="00A030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рассчитывался на даты изменения списка ценных бумаг </w:t>
      </w:r>
      <w:proofErr w:type="spellStart"/>
      <w:r>
        <w:rPr>
          <w:rFonts w:ascii="Times New Roman" w:hAnsi="Times New Roman" w:cs="Times New Roman"/>
        </w:rPr>
        <w:t>субиндекса</w:t>
      </w:r>
      <w:proofErr w:type="spellEnd"/>
      <w:r>
        <w:rPr>
          <w:rFonts w:ascii="Times New Roman" w:hAnsi="Times New Roman" w:cs="Times New Roman"/>
        </w:rPr>
        <w:t xml:space="preserve"> облигаций</w:t>
      </w:r>
      <w:r w:rsidR="000F7AB4">
        <w:rPr>
          <w:rFonts w:ascii="Times New Roman" w:hAnsi="Times New Roman" w:cs="Times New Roman"/>
        </w:rPr>
        <w:t xml:space="preserve">, по каждому выпуску ценных бумаг </w:t>
      </w:r>
      <w:proofErr w:type="spellStart"/>
      <w:r w:rsidR="000F7AB4">
        <w:rPr>
          <w:rFonts w:ascii="Times New Roman" w:hAnsi="Times New Roman" w:cs="Times New Roman"/>
        </w:rPr>
        <w:t>субъиндекса</w:t>
      </w:r>
      <w:proofErr w:type="spellEnd"/>
      <w:r>
        <w:rPr>
          <w:rFonts w:ascii="Times New Roman" w:hAnsi="Times New Roman" w:cs="Times New Roman"/>
        </w:rPr>
        <w:t xml:space="preserve">. </w:t>
      </w:r>
      <w:r w:rsidR="000F7AB4">
        <w:rPr>
          <w:rFonts w:ascii="Times New Roman" w:hAnsi="Times New Roman" w:cs="Times New Roman"/>
        </w:rPr>
        <w:t>Корреляция между доходностями выпусков ценных бумаг не учитывалась.</w:t>
      </w:r>
    </w:p>
  </w:footnote>
  <w:footnote w:id="6">
    <w:p w:rsidR="00AC06AD" w:rsidRPr="00A735AF" w:rsidRDefault="00AC06AD" w:rsidP="00A735AF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Оценка вероятности дефолта (</w:t>
      </w:r>
      <w:r>
        <w:rPr>
          <w:rFonts w:ascii="Times New Roman" w:hAnsi="Times New Roman" w:cs="Times New Roman"/>
          <w:lang w:val="en-US"/>
        </w:rPr>
        <w:t>Probability</w:t>
      </w:r>
      <w:r w:rsidRPr="001B1C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Default</w:t>
      </w:r>
      <w:r>
        <w:rPr>
          <w:rFonts w:ascii="Times New Roman" w:hAnsi="Times New Roman" w:cs="Times New Roman"/>
        </w:rPr>
        <w:t>)</w:t>
      </w:r>
      <w:r w:rsidRPr="001B1C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осуществлялась на основе данных международного рейтингового агентства </w:t>
      </w:r>
      <w:r>
        <w:rPr>
          <w:rFonts w:ascii="Times New Roman" w:hAnsi="Times New Roman" w:cs="Times New Roman"/>
          <w:lang w:val="en-US"/>
        </w:rPr>
        <w:t>Moody</w:t>
      </w:r>
      <w:r w:rsidRPr="001B1C4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s</w:t>
      </w:r>
      <w:r w:rsidRPr="001B1C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EF652B">
        <w:rPr>
          <w:rFonts w:ascii="Times New Roman" w:eastAsiaTheme="minorEastAsia" w:hAnsi="Times New Roman" w:cs="Times New Roman"/>
          <w:lang w:val="en-US"/>
        </w:rPr>
        <w:t>Moody</w:t>
      </w:r>
      <w:r w:rsidRPr="00EF652B">
        <w:rPr>
          <w:rFonts w:ascii="Times New Roman" w:eastAsiaTheme="minorEastAsia" w:hAnsi="Times New Roman" w:cs="Times New Roman"/>
        </w:rPr>
        <w:t>’</w:t>
      </w:r>
      <w:r w:rsidRPr="00EF652B">
        <w:rPr>
          <w:rFonts w:ascii="Times New Roman" w:eastAsiaTheme="minorEastAsia" w:hAnsi="Times New Roman" w:cs="Times New Roman"/>
          <w:lang w:val="en-US"/>
        </w:rPr>
        <w:t>s</w:t>
      </w:r>
      <w:r w:rsidRPr="00EF652B">
        <w:rPr>
          <w:rFonts w:ascii="Times New Roman" w:eastAsiaTheme="minorEastAsia" w:hAnsi="Times New Roman" w:cs="Times New Roman"/>
        </w:rPr>
        <w:t xml:space="preserve"> </w:t>
      </w:r>
      <w:r w:rsidRPr="00EF652B">
        <w:rPr>
          <w:rFonts w:ascii="Times New Roman" w:eastAsiaTheme="minorEastAsia" w:hAnsi="Times New Roman" w:cs="Times New Roman"/>
          <w:lang w:val="en-US"/>
        </w:rPr>
        <w:t>investors</w:t>
      </w:r>
      <w:r w:rsidRPr="00EF652B">
        <w:rPr>
          <w:rFonts w:ascii="Times New Roman" w:eastAsiaTheme="minorEastAsia" w:hAnsi="Times New Roman" w:cs="Times New Roman"/>
        </w:rPr>
        <w:t xml:space="preserve"> </w:t>
      </w:r>
      <w:r w:rsidRPr="00EF652B">
        <w:rPr>
          <w:rFonts w:ascii="Times New Roman" w:eastAsiaTheme="minorEastAsia" w:hAnsi="Times New Roman" w:cs="Times New Roman"/>
          <w:lang w:val="en-US"/>
        </w:rPr>
        <w:t>service</w:t>
      </w:r>
      <w:r w:rsidRPr="00EF652B">
        <w:rPr>
          <w:rFonts w:ascii="Times New Roman" w:eastAsiaTheme="minorEastAsia" w:hAnsi="Times New Roman" w:cs="Times New Roman"/>
        </w:rPr>
        <w:t xml:space="preserve">, </w:t>
      </w:r>
      <w:r w:rsidRPr="00EF652B">
        <w:rPr>
          <w:rFonts w:ascii="Times New Roman" w:eastAsiaTheme="minorEastAsia" w:hAnsi="Times New Roman" w:cs="Times New Roman"/>
          <w:lang w:val="en-US"/>
        </w:rPr>
        <w:t>Corporate</w:t>
      </w:r>
      <w:r w:rsidRPr="00EF652B">
        <w:rPr>
          <w:rFonts w:ascii="Times New Roman" w:eastAsiaTheme="minorEastAsia" w:hAnsi="Times New Roman" w:cs="Times New Roman"/>
        </w:rPr>
        <w:t xml:space="preserve"> </w:t>
      </w:r>
      <w:r w:rsidRPr="00EF652B">
        <w:rPr>
          <w:rFonts w:ascii="Times New Roman" w:eastAsiaTheme="minorEastAsia" w:hAnsi="Times New Roman" w:cs="Times New Roman"/>
          <w:lang w:val="en-US"/>
        </w:rPr>
        <w:t>Default</w:t>
      </w:r>
      <w:r w:rsidRPr="00EF652B">
        <w:rPr>
          <w:rFonts w:ascii="Times New Roman" w:eastAsiaTheme="minorEastAsia" w:hAnsi="Times New Roman" w:cs="Times New Roman"/>
        </w:rPr>
        <w:t xml:space="preserve"> </w:t>
      </w:r>
      <w:r w:rsidRPr="00EF652B">
        <w:rPr>
          <w:rFonts w:ascii="Times New Roman" w:eastAsiaTheme="minorEastAsia" w:hAnsi="Times New Roman" w:cs="Times New Roman"/>
          <w:lang w:val="en-US"/>
        </w:rPr>
        <w:t>and</w:t>
      </w:r>
      <w:r w:rsidRPr="00EF652B">
        <w:rPr>
          <w:rFonts w:ascii="Times New Roman" w:eastAsiaTheme="minorEastAsia" w:hAnsi="Times New Roman" w:cs="Times New Roman"/>
        </w:rPr>
        <w:t xml:space="preserve"> </w:t>
      </w:r>
      <w:r w:rsidRPr="00EF652B">
        <w:rPr>
          <w:rFonts w:ascii="Times New Roman" w:eastAsiaTheme="minorEastAsia" w:hAnsi="Times New Roman" w:cs="Times New Roman"/>
          <w:lang w:val="en-US"/>
        </w:rPr>
        <w:t>Recovery</w:t>
      </w:r>
      <w:r w:rsidRPr="00EF652B">
        <w:rPr>
          <w:rFonts w:ascii="Times New Roman" w:eastAsiaTheme="minorEastAsia" w:hAnsi="Times New Roman" w:cs="Times New Roman"/>
        </w:rPr>
        <w:t xml:space="preserve"> </w:t>
      </w:r>
      <w:r w:rsidRPr="00EF652B">
        <w:rPr>
          <w:rFonts w:ascii="Times New Roman" w:eastAsiaTheme="minorEastAsia" w:hAnsi="Times New Roman" w:cs="Times New Roman"/>
          <w:lang w:val="en-US"/>
        </w:rPr>
        <w:t>Rates</w:t>
      </w:r>
      <w:r w:rsidRPr="00EF652B">
        <w:rPr>
          <w:rFonts w:ascii="Times New Roman" w:eastAsiaTheme="minorEastAsia" w:hAnsi="Times New Roman" w:cs="Times New Roman"/>
        </w:rPr>
        <w:t xml:space="preserve"> 1920-2010, </w:t>
      </w:r>
      <w:r w:rsidRPr="00EF652B">
        <w:rPr>
          <w:rFonts w:ascii="Times New Roman" w:eastAsiaTheme="minorEastAsia" w:hAnsi="Times New Roman" w:cs="Times New Roman"/>
          <w:lang w:val="en-US"/>
        </w:rPr>
        <w:t>February</w:t>
      </w:r>
      <w:r w:rsidRPr="00EF652B">
        <w:rPr>
          <w:rFonts w:ascii="Times New Roman" w:eastAsiaTheme="minorEastAsia" w:hAnsi="Times New Roman" w:cs="Times New Roman"/>
        </w:rPr>
        <w:t xml:space="preserve"> 28,2011</w:t>
      </w:r>
      <w:r>
        <w:rPr>
          <w:rFonts w:ascii="Times New Roman" w:hAnsi="Times New Roman" w:cs="Times New Roman"/>
        </w:rPr>
        <w:t>)</w:t>
      </w:r>
      <w:r w:rsidR="00A735AF" w:rsidRPr="00A735AF">
        <w:rPr>
          <w:rFonts w:ascii="Times New Roman" w:hAnsi="Times New Roman" w:cs="Times New Roman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981"/>
    <w:multiLevelType w:val="hybridMultilevel"/>
    <w:tmpl w:val="D6A29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8379C"/>
    <w:multiLevelType w:val="hybridMultilevel"/>
    <w:tmpl w:val="474EFF24"/>
    <w:lvl w:ilvl="0" w:tplc="EA4643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072FFF"/>
    <w:multiLevelType w:val="hybridMultilevel"/>
    <w:tmpl w:val="83C0E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E0262"/>
    <w:multiLevelType w:val="hybridMultilevel"/>
    <w:tmpl w:val="83C0E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77A22"/>
    <w:multiLevelType w:val="hybridMultilevel"/>
    <w:tmpl w:val="DF6E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A7630"/>
    <w:multiLevelType w:val="hybridMultilevel"/>
    <w:tmpl w:val="6430D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03AE0"/>
    <w:multiLevelType w:val="hybridMultilevel"/>
    <w:tmpl w:val="94A4DC4E"/>
    <w:lvl w:ilvl="0" w:tplc="895275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94B79D3"/>
    <w:multiLevelType w:val="hybridMultilevel"/>
    <w:tmpl w:val="D6A29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B1"/>
    <w:rsid w:val="000046FD"/>
    <w:rsid w:val="00004F73"/>
    <w:rsid w:val="0000507B"/>
    <w:rsid w:val="00011257"/>
    <w:rsid w:val="00031DAD"/>
    <w:rsid w:val="00075C5E"/>
    <w:rsid w:val="00081209"/>
    <w:rsid w:val="000A0491"/>
    <w:rsid w:val="000B2FC8"/>
    <w:rsid w:val="000B658B"/>
    <w:rsid w:val="000D0AC7"/>
    <w:rsid w:val="000D7595"/>
    <w:rsid w:val="000E3ADF"/>
    <w:rsid w:val="000F7AB4"/>
    <w:rsid w:val="001000BF"/>
    <w:rsid w:val="00110604"/>
    <w:rsid w:val="00132B0D"/>
    <w:rsid w:val="001374B5"/>
    <w:rsid w:val="00151066"/>
    <w:rsid w:val="00165669"/>
    <w:rsid w:val="001733FC"/>
    <w:rsid w:val="00182B8F"/>
    <w:rsid w:val="001B1C43"/>
    <w:rsid w:val="001C1E43"/>
    <w:rsid w:val="001D0B45"/>
    <w:rsid w:val="001E0693"/>
    <w:rsid w:val="001E300A"/>
    <w:rsid w:val="001E781A"/>
    <w:rsid w:val="001F49DD"/>
    <w:rsid w:val="001F5BDB"/>
    <w:rsid w:val="00216EC9"/>
    <w:rsid w:val="002A1015"/>
    <w:rsid w:val="002C3A0C"/>
    <w:rsid w:val="002C3EE4"/>
    <w:rsid w:val="002D2FD8"/>
    <w:rsid w:val="00310359"/>
    <w:rsid w:val="003112F5"/>
    <w:rsid w:val="0031538C"/>
    <w:rsid w:val="003301E5"/>
    <w:rsid w:val="00334F43"/>
    <w:rsid w:val="00347E68"/>
    <w:rsid w:val="003533EA"/>
    <w:rsid w:val="00387493"/>
    <w:rsid w:val="0038795D"/>
    <w:rsid w:val="003A5A75"/>
    <w:rsid w:val="003A716D"/>
    <w:rsid w:val="003B0BC4"/>
    <w:rsid w:val="003B5D90"/>
    <w:rsid w:val="003B753E"/>
    <w:rsid w:val="003D0277"/>
    <w:rsid w:val="003D73A4"/>
    <w:rsid w:val="003E5208"/>
    <w:rsid w:val="003F6E95"/>
    <w:rsid w:val="0040768C"/>
    <w:rsid w:val="004135BF"/>
    <w:rsid w:val="004232B1"/>
    <w:rsid w:val="00433DEC"/>
    <w:rsid w:val="00442746"/>
    <w:rsid w:val="00442C59"/>
    <w:rsid w:val="00454783"/>
    <w:rsid w:val="00472051"/>
    <w:rsid w:val="00472657"/>
    <w:rsid w:val="004754FF"/>
    <w:rsid w:val="00486045"/>
    <w:rsid w:val="0049722A"/>
    <w:rsid w:val="004A169D"/>
    <w:rsid w:val="004B5A6B"/>
    <w:rsid w:val="004C4641"/>
    <w:rsid w:val="004C7838"/>
    <w:rsid w:val="004E1FAA"/>
    <w:rsid w:val="004F5956"/>
    <w:rsid w:val="004F7B24"/>
    <w:rsid w:val="005356F9"/>
    <w:rsid w:val="00550587"/>
    <w:rsid w:val="005573FF"/>
    <w:rsid w:val="005769EF"/>
    <w:rsid w:val="005863B8"/>
    <w:rsid w:val="0059090C"/>
    <w:rsid w:val="005B5E26"/>
    <w:rsid w:val="005C791F"/>
    <w:rsid w:val="005D3573"/>
    <w:rsid w:val="005E5373"/>
    <w:rsid w:val="00615FEA"/>
    <w:rsid w:val="00621761"/>
    <w:rsid w:val="00625200"/>
    <w:rsid w:val="00632DAC"/>
    <w:rsid w:val="00646E54"/>
    <w:rsid w:val="00681BE2"/>
    <w:rsid w:val="00693F01"/>
    <w:rsid w:val="006A7D2C"/>
    <w:rsid w:val="006B392C"/>
    <w:rsid w:val="006D22CF"/>
    <w:rsid w:val="006D5FFA"/>
    <w:rsid w:val="006E27B5"/>
    <w:rsid w:val="006F177E"/>
    <w:rsid w:val="00727CB8"/>
    <w:rsid w:val="00735E58"/>
    <w:rsid w:val="00737F44"/>
    <w:rsid w:val="00745CE5"/>
    <w:rsid w:val="007510E3"/>
    <w:rsid w:val="0076212E"/>
    <w:rsid w:val="007724E6"/>
    <w:rsid w:val="007868A1"/>
    <w:rsid w:val="00787E11"/>
    <w:rsid w:val="007C4B1C"/>
    <w:rsid w:val="007C7C7F"/>
    <w:rsid w:val="007E6955"/>
    <w:rsid w:val="007F04C8"/>
    <w:rsid w:val="007F0C0A"/>
    <w:rsid w:val="007F3BAF"/>
    <w:rsid w:val="007F5762"/>
    <w:rsid w:val="0082088E"/>
    <w:rsid w:val="008218F4"/>
    <w:rsid w:val="00835138"/>
    <w:rsid w:val="00837CCA"/>
    <w:rsid w:val="008432B7"/>
    <w:rsid w:val="00843901"/>
    <w:rsid w:val="00845DAB"/>
    <w:rsid w:val="008524BD"/>
    <w:rsid w:val="0086593D"/>
    <w:rsid w:val="00867EE4"/>
    <w:rsid w:val="00876038"/>
    <w:rsid w:val="00876158"/>
    <w:rsid w:val="0089623A"/>
    <w:rsid w:val="008A0A70"/>
    <w:rsid w:val="008A40EA"/>
    <w:rsid w:val="008A6146"/>
    <w:rsid w:val="008D0042"/>
    <w:rsid w:val="008E5197"/>
    <w:rsid w:val="008F26B7"/>
    <w:rsid w:val="009114EF"/>
    <w:rsid w:val="00916A7D"/>
    <w:rsid w:val="009234BF"/>
    <w:rsid w:val="009344B0"/>
    <w:rsid w:val="00950260"/>
    <w:rsid w:val="00974A87"/>
    <w:rsid w:val="0098372F"/>
    <w:rsid w:val="009A2DF5"/>
    <w:rsid w:val="009B0C90"/>
    <w:rsid w:val="009C3497"/>
    <w:rsid w:val="009C4FD7"/>
    <w:rsid w:val="009F31DD"/>
    <w:rsid w:val="009F32C8"/>
    <w:rsid w:val="009F5E2F"/>
    <w:rsid w:val="009F7456"/>
    <w:rsid w:val="00A0308A"/>
    <w:rsid w:val="00A10258"/>
    <w:rsid w:val="00A14B8F"/>
    <w:rsid w:val="00A15304"/>
    <w:rsid w:val="00A20659"/>
    <w:rsid w:val="00A211D7"/>
    <w:rsid w:val="00A218EF"/>
    <w:rsid w:val="00A35595"/>
    <w:rsid w:val="00A36DDC"/>
    <w:rsid w:val="00A40560"/>
    <w:rsid w:val="00A735AF"/>
    <w:rsid w:val="00A80D57"/>
    <w:rsid w:val="00AB38B3"/>
    <w:rsid w:val="00AB6449"/>
    <w:rsid w:val="00AC06AD"/>
    <w:rsid w:val="00AC24F5"/>
    <w:rsid w:val="00AC3F91"/>
    <w:rsid w:val="00AC55E6"/>
    <w:rsid w:val="00B02CB5"/>
    <w:rsid w:val="00B6099A"/>
    <w:rsid w:val="00B621E1"/>
    <w:rsid w:val="00B705F3"/>
    <w:rsid w:val="00B9671E"/>
    <w:rsid w:val="00BA182A"/>
    <w:rsid w:val="00BA7DA4"/>
    <w:rsid w:val="00BB23CF"/>
    <w:rsid w:val="00BB6108"/>
    <w:rsid w:val="00BB6AEB"/>
    <w:rsid w:val="00BC02A0"/>
    <w:rsid w:val="00BC5B6A"/>
    <w:rsid w:val="00BC6205"/>
    <w:rsid w:val="00C06FC3"/>
    <w:rsid w:val="00C115AF"/>
    <w:rsid w:val="00C31FE7"/>
    <w:rsid w:val="00C425D0"/>
    <w:rsid w:val="00C508BF"/>
    <w:rsid w:val="00C57190"/>
    <w:rsid w:val="00C62053"/>
    <w:rsid w:val="00C76EE4"/>
    <w:rsid w:val="00C80894"/>
    <w:rsid w:val="00C81BDC"/>
    <w:rsid w:val="00C8204A"/>
    <w:rsid w:val="00C97497"/>
    <w:rsid w:val="00CB110E"/>
    <w:rsid w:val="00CB5D9E"/>
    <w:rsid w:val="00CC57E2"/>
    <w:rsid w:val="00CE2802"/>
    <w:rsid w:val="00CE4D89"/>
    <w:rsid w:val="00CE4F16"/>
    <w:rsid w:val="00D225DA"/>
    <w:rsid w:val="00D3061E"/>
    <w:rsid w:val="00D3296F"/>
    <w:rsid w:val="00D44E9F"/>
    <w:rsid w:val="00D4786B"/>
    <w:rsid w:val="00D644CC"/>
    <w:rsid w:val="00D72F25"/>
    <w:rsid w:val="00D73F71"/>
    <w:rsid w:val="00D76DB8"/>
    <w:rsid w:val="00DC6759"/>
    <w:rsid w:val="00DE4659"/>
    <w:rsid w:val="00DF1604"/>
    <w:rsid w:val="00E0403C"/>
    <w:rsid w:val="00E263E9"/>
    <w:rsid w:val="00E274F5"/>
    <w:rsid w:val="00E357AC"/>
    <w:rsid w:val="00E424BC"/>
    <w:rsid w:val="00E44272"/>
    <w:rsid w:val="00E53C15"/>
    <w:rsid w:val="00E72956"/>
    <w:rsid w:val="00EA7DEB"/>
    <w:rsid w:val="00EE12E5"/>
    <w:rsid w:val="00EF6DF4"/>
    <w:rsid w:val="00F24058"/>
    <w:rsid w:val="00F26B9B"/>
    <w:rsid w:val="00F327BF"/>
    <w:rsid w:val="00F41035"/>
    <w:rsid w:val="00F44223"/>
    <w:rsid w:val="00F665C8"/>
    <w:rsid w:val="00F84632"/>
    <w:rsid w:val="00FA4F6D"/>
    <w:rsid w:val="00FA7216"/>
    <w:rsid w:val="00FC63BB"/>
    <w:rsid w:val="00FD5CBC"/>
    <w:rsid w:val="00FD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49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432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FC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432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F49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004F73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6F177E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442C59"/>
    <w:rPr>
      <w:color w:val="954F72" w:themeColor="followed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AC24F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C24F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C24F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2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18E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CB5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a0"/>
    <w:rsid w:val="003F6E95"/>
  </w:style>
  <w:style w:type="character" w:customStyle="1" w:styleId="apple-converted-space">
    <w:name w:val="apple-converted-space"/>
    <w:basedOn w:val="a0"/>
    <w:rsid w:val="003F6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49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432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FC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432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F49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004F73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6F177E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442C59"/>
    <w:rPr>
      <w:color w:val="954F72" w:themeColor="followed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AC24F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C24F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C24F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2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18E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CB5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a0"/>
    <w:rsid w:val="003F6E95"/>
  </w:style>
  <w:style w:type="character" w:customStyle="1" w:styleId="apple-converted-space">
    <w:name w:val="apple-converted-space"/>
    <w:basedOn w:val="a0"/>
    <w:rsid w:val="003F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hart" Target="charts/chart7.xml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23" Type="http://schemas.openxmlformats.org/officeDocument/2006/relationships/theme" Target="theme/theme1.xml"/><Relationship Id="rId10" Type="http://schemas.openxmlformats.org/officeDocument/2006/relationships/hyperlink" Target="http://moex.com/a2432" TargetMode="External"/><Relationship Id="rId19" Type="http://schemas.openxmlformats.org/officeDocument/2006/relationships/chart" Target="charts/chart8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oex.com/a1391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76;&#1083;&#1103;%20&#1051;&#1100;&#1074;&#1072;\&#1040;&#1082;&#1094;&#1080;&#108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76;&#1083;&#1103;%20&#1051;&#1100;&#1074;&#1072;\&#1041;&#1072;&#1085;&#1082;&#1080;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76;&#1083;&#1103;%20&#1051;&#1100;&#1074;&#1072;\&#1040;&#1082;&#1094;&#1080;&#108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76;&#1083;&#1103;%20&#1051;&#1100;&#1074;&#1072;\&#1054;&#1073;&#1083;&#1080;&#1075;&#1072;&#1094;&#1080;&#108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76;&#1083;&#1103;%20&#1051;&#1100;&#1074;&#1072;\&#1054;&#1073;&#1083;&#1080;&#1075;&#1072;&#1094;&#1080;&#108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76;&#1083;&#1103;%20&#1051;&#1100;&#1074;&#1072;\&#1054;&#1073;&#1083;&#1080;&#1075;&#1072;&#1094;&#1080;&#108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76;&#1083;&#1103;%20&#1051;&#1100;&#1074;&#1072;\&#1041;&#1072;&#1085;&#1082;&#108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76;&#1083;&#1103;%20&#1051;&#1100;&#1074;&#1072;\&#1041;&#1072;&#1085;&#1082;&#108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76;&#1083;&#1103;%20&#1051;&#1100;&#1074;&#1072;\&#1041;&#1072;&#1085;&#1082;&#108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76;&#1083;&#1103;%20&#1051;&#1100;&#1074;&#1072;\&#1041;&#1072;&#1085;&#1082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Beta</c:v>
          </c:tx>
          <c:spPr>
            <a:ln>
              <a:solidFill>
                <a:srgbClr val="0070C0"/>
              </a:solidFill>
            </a:ln>
          </c:spPr>
          <c:marker>
            <c:symbol val="circle"/>
            <c:size val="3"/>
          </c:marker>
          <c:cat>
            <c:multiLvlStrRef>
              <c:f>Бета!$A$4:$B$18</c:f>
              <c:multiLvlStrCache>
                <c:ptCount val="1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</c:lvl>
                <c:lvl>
                  <c:pt idx="0">
                    <c:v>2014</c:v>
                  </c:pt>
                  <c:pt idx="1">
                    <c:v>2014</c:v>
                  </c:pt>
                  <c:pt idx="2">
                    <c:v>2014</c:v>
                  </c:pt>
                  <c:pt idx="3">
                    <c:v>2014</c:v>
                  </c:pt>
                  <c:pt idx="4">
                    <c:v>2014</c:v>
                  </c:pt>
                  <c:pt idx="5">
                    <c:v>2014</c:v>
                  </c:pt>
                  <c:pt idx="6">
                    <c:v>2014</c:v>
                  </c:pt>
                  <c:pt idx="7">
                    <c:v>2014</c:v>
                  </c:pt>
                  <c:pt idx="8">
                    <c:v>2014</c:v>
                  </c:pt>
                  <c:pt idx="9">
                    <c:v>2014</c:v>
                  </c:pt>
                  <c:pt idx="10">
                    <c:v>2014</c:v>
                  </c:pt>
                  <c:pt idx="11">
                    <c:v>2014</c:v>
                  </c:pt>
                  <c:pt idx="12">
                    <c:v>2015</c:v>
                  </c:pt>
                  <c:pt idx="13">
                    <c:v>2015</c:v>
                  </c:pt>
                  <c:pt idx="14">
                    <c:v>2015</c:v>
                  </c:pt>
                </c:lvl>
              </c:multiLvlStrCache>
            </c:multiLvlStrRef>
          </c:cat>
          <c:val>
            <c:numRef>
              <c:f>Бета!$C$4:$C$18</c:f>
              <c:numCache>
                <c:formatCode>General</c:formatCode>
                <c:ptCount val="15"/>
                <c:pt idx="0">
                  <c:v>0.24797662167894696</c:v>
                </c:pt>
                <c:pt idx="1">
                  <c:v>0.40036859417789011</c:v>
                </c:pt>
                <c:pt idx="2">
                  <c:v>0.75173658104095686</c:v>
                </c:pt>
                <c:pt idx="3">
                  <c:v>0.53685407760314119</c:v>
                </c:pt>
                <c:pt idx="4">
                  <c:v>0.46633494848865498</c:v>
                </c:pt>
                <c:pt idx="5">
                  <c:v>0.35192057793919612</c:v>
                </c:pt>
                <c:pt idx="6">
                  <c:v>0.47363827105771805</c:v>
                </c:pt>
                <c:pt idx="7">
                  <c:v>0.433705129637385</c:v>
                </c:pt>
                <c:pt idx="8">
                  <c:v>0.51973440287719308</c:v>
                </c:pt>
                <c:pt idx="9">
                  <c:v>0.53688633321788803</c:v>
                </c:pt>
                <c:pt idx="10">
                  <c:v>0.14172736102260503</c:v>
                </c:pt>
                <c:pt idx="11">
                  <c:v>0.31275567942439397</c:v>
                </c:pt>
                <c:pt idx="12">
                  <c:v>0.34625105000110395</c:v>
                </c:pt>
                <c:pt idx="13">
                  <c:v>0.35739530767635902</c:v>
                </c:pt>
                <c:pt idx="14">
                  <c:v>0.49993001550436406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5043712"/>
        <c:axId val="155045888"/>
      </c:lineChart>
      <c:lineChart>
        <c:grouping val="standard"/>
        <c:varyColors val="0"/>
        <c:ser>
          <c:idx val="1"/>
          <c:order val="1"/>
          <c:tx>
            <c:v>ММВБ (средн. мес.)</c:v>
          </c:tx>
          <c:spPr>
            <a:ln>
              <a:solidFill>
                <a:srgbClr val="00B0F0"/>
              </a:solidFill>
            </a:ln>
          </c:spPr>
          <c:marker>
            <c:symbol val="circle"/>
            <c:size val="3"/>
            <c:spPr>
              <a:solidFill>
                <a:srgbClr val="00B0F0"/>
              </a:solidFill>
              <a:ln>
                <a:solidFill>
                  <a:srgbClr val="00B0F0"/>
                </a:solidFill>
              </a:ln>
            </c:spPr>
          </c:marker>
          <c:cat>
            <c:multiLvlStrRef>
              <c:f>Бета!$A$4:$B$18</c:f>
              <c:multiLvlStrCache>
                <c:ptCount val="1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</c:lvl>
                <c:lvl>
                  <c:pt idx="0">
                    <c:v>2014</c:v>
                  </c:pt>
                  <c:pt idx="1">
                    <c:v>2014</c:v>
                  </c:pt>
                  <c:pt idx="2">
                    <c:v>2014</c:v>
                  </c:pt>
                  <c:pt idx="3">
                    <c:v>2014</c:v>
                  </c:pt>
                  <c:pt idx="4">
                    <c:v>2014</c:v>
                  </c:pt>
                  <c:pt idx="5">
                    <c:v>2014</c:v>
                  </c:pt>
                  <c:pt idx="6">
                    <c:v>2014</c:v>
                  </c:pt>
                  <c:pt idx="7">
                    <c:v>2014</c:v>
                  </c:pt>
                  <c:pt idx="8">
                    <c:v>2014</c:v>
                  </c:pt>
                  <c:pt idx="9">
                    <c:v>2014</c:v>
                  </c:pt>
                  <c:pt idx="10">
                    <c:v>2014</c:v>
                  </c:pt>
                  <c:pt idx="11">
                    <c:v>2014</c:v>
                  </c:pt>
                  <c:pt idx="12">
                    <c:v>2015</c:v>
                  </c:pt>
                  <c:pt idx="13">
                    <c:v>2015</c:v>
                  </c:pt>
                  <c:pt idx="14">
                    <c:v>2015</c:v>
                  </c:pt>
                </c:lvl>
              </c:multiLvlStrCache>
            </c:multiLvlStrRef>
          </c:cat>
          <c:val>
            <c:numRef>
              <c:f>Бета!$D$4:$D$18</c:f>
              <c:numCache>
                <c:formatCode>General</c:formatCode>
                <c:ptCount val="15"/>
                <c:pt idx="0">
                  <c:v>1478.06105263158</c:v>
                </c:pt>
                <c:pt idx="1">
                  <c:v>1475.6195</c:v>
                </c:pt>
                <c:pt idx="2">
                  <c:v>1316.31</c:v>
                </c:pt>
                <c:pt idx="3">
                  <c:v>1338.3463636363599</c:v>
                </c:pt>
                <c:pt idx="4">
                  <c:v>1395.075</c:v>
                </c:pt>
                <c:pt idx="5">
                  <c:v>1485.0552631578901</c:v>
                </c:pt>
                <c:pt idx="6">
                  <c:v>1448.8991304347799</c:v>
                </c:pt>
                <c:pt idx="7">
                  <c:v>1404.1885714285702</c:v>
                </c:pt>
                <c:pt idx="8">
                  <c:v>1441.7504545454499</c:v>
                </c:pt>
                <c:pt idx="9">
                  <c:v>1395.1791304347798</c:v>
                </c:pt>
                <c:pt idx="10">
                  <c:v>1515.47052631579</c:v>
                </c:pt>
                <c:pt idx="11">
                  <c:v>1469.9931818181799</c:v>
                </c:pt>
                <c:pt idx="12">
                  <c:v>1585.2966666666703</c:v>
                </c:pt>
                <c:pt idx="13">
                  <c:v>1753.4394736842103</c:v>
                </c:pt>
                <c:pt idx="14">
                  <c:v>1656.5985714285703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5048960"/>
        <c:axId val="155047424"/>
      </c:lineChart>
      <c:catAx>
        <c:axId val="155043712"/>
        <c:scaling>
          <c:orientation val="minMax"/>
        </c:scaling>
        <c:delete val="0"/>
        <c:axPos val="b"/>
        <c:majorGridlines>
          <c:spPr>
            <a:ln>
              <a:solidFill>
                <a:schemeClr val="tx2">
                  <a:lumMod val="20000"/>
                  <a:lumOff val="80000"/>
                </a:schemeClr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txPr>
          <a:bodyPr rot="0" vert="horz" anchor="ctr" anchorCtr="0"/>
          <a:lstStyle/>
          <a:p>
            <a:pPr>
              <a:defRPr/>
            </a:pPr>
            <a:endParaRPr lang="ru-RU"/>
          </a:p>
        </c:txPr>
        <c:crossAx val="155045888"/>
        <c:crosses val="autoZero"/>
        <c:auto val="1"/>
        <c:lblAlgn val="ctr"/>
        <c:lblOffset val="100"/>
        <c:tickLblSkip val="2"/>
        <c:tickMarkSkip val="1"/>
        <c:noMultiLvlLbl val="1"/>
      </c:catAx>
      <c:valAx>
        <c:axId val="155045888"/>
        <c:scaling>
          <c:orientation val="minMax"/>
        </c:scaling>
        <c:delete val="0"/>
        <c:axPos val="l"/>
        <c:majorGridlines>
          <c:spPr>
            <a:ln>
              <a:solidFill>
                <a:schemeClr val="tx2">
                  <a:lumMod val="20000"/>
                  <a:lumOff val="80000"/>
                </a:schemeClr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55043712"/>
        <c:crosses val="autoZero"/>
        <c:crossBetween val="midCat"/>
      </c:valAx>
      <c:valAx>
        <c:axId val="155047424"/>
        <c:scaling>
          <c:orientation val="minMax"/>
          <c:max val="1800"/>
          <c:min val="1200"/>
        </c:scaling>
        <c:delete val="0"/>
        <c:axPos val="r"/>
        <c:numFmt formatCode="General" sourceLinked="1"/>
        <c:majorTickMark val="out"/>
        <c:minorTickMark val="none"/>
        <c:tickLblPos val="nextTo"/>
        <c:crossAx val="155048960"/>
        <c:crosses val="max"/>
        <c:crossBetween val="between"/>
      </c:valAx>
      <c:catAx>
        <c:axId val="1550489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55047424"/>
        <c:crosses val="autoZero"/>
        <c:auto val="1"/>
        <c:lblAlgn val="ctr"/>
        <c:lblOffset val="100"/>
        <c:noMultiLvlLbl val="0"/>
      </c:cat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9368198031343002E-2"/>
          <c:y val="5.362950263203884E-2"/>
          <c:w val="0.87813387682651733"/>
          <c:h val="0.76786678263209307"/>
        </c:manualLayout>
      </c:layout>
      <c:lineChart>
        <c:grouping val="standard"/>
        <c:varyColors val="0"/>
        <c:ser>
          <c:idx val="0"/>
          <c:order val="0"/>
          <c:tx>
            <c:strRef>
              <c:f>Рейтинги!$R$17</c:f>
              <c:strCache>
                <c:ptCount val="1"/>
                <c:pt idx="0">
                  <c:v>CVAR (95)</c:v>
                </c:pt>
              </c:strCache>
            </c:strRef>
          </c:tx>
          <c:spPr>
            <a:ln w="22225" cap="rnd">
              <a:solidFill>
                <a:srgbClr val="0070C0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rgbClr val="0070C0"/>
              </a:solidFill>
              <a:ln>
                <a:solidFill>
                  <a:srgbClr val="0070C0"/>
                </a:solidFill>
              </a:ln>
            </c:spPr>
          </c:marker>
          <c:cat>
            <c:numRef>
              <c:f>Рейтинги!$S$16:$W$16</c:f>
              <c:numCache>
                <c:formatCode>m/d/yyyy</c:formatCode>
                <c:ptCount val="5"/>
                <c:pt idx="0">
                  <c:v>41730</c:v>
                </c:pt>
                <c:pt idx="1">
                  <c:v>41822</c:v>
                </c:pt>
                <c:pt idx="2">
                  <c:v>41932</c:v>
                </c:pt>
                <c:pt idx="3">
                  <c:v>41996</c:v>
                </c:pt>
                <c:pt idx="4">
                  <c:v>42059</c:v>
                </c:pt>
              </c:numCache>
            </c:numRef>
          </c:cat>
          <c:val>
            <c:numRef>
              <c:f>Рейтинги!$S$17:$W$17</c:f>
              <c:numCache>
                <c:formatCode>General</c:formatCode>
                <c:ptCount val="5"/>
                <c:pt idx="0">
                  <c:v>2.202208979007219E-2</c:v>
                </c:pt>
                <c:pt idx="1">
                  <c:v>2.2640078939134955E-2</c:v>
                </c:pt>
                <c:pt idx="2">
                  <c:v>2.6080815404121608E-2</c:v>
                </c:pt>
                <c:pt idx="3">
                  <c:v>3.1305472992265666E-2</c:v>
                </c:pt>
                <c:pt idx="4">
                  <c:v>3.6073283375890525E-2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Рейтинги!$R$18</c:f>
              <c:strCache>
                <c:ptCount val="1"/>
                <c:pt idx="0">
                  <c:v>CVAR (99)</c:v>
                </c:pt>
              </c:strCache>
            </c:strRef>
          </c:tx>
          <c:spPr>
            <a:ln w="22225" cap="rnd">
              <a:solidFill>
                <a:srgbClr val="00B0F0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rgbClr val="00B0F0"/>
              </a:solidFill>
              <a:ln>
                <a:solidFill>
                  <a:srgbClr val="00B0F0"/>
                </a:solidFill>
              </a:ln>
            </c:spPr>
          </c:marker>
          <c:cat>
            <c:numRef>
              <c:f>Рейтинги!$S$16:$W$16</c:f>
              <c:numCache>
                <c:formatCode>m/d/yyyy</c:formatCode>
                <c:ptCount val="5"/>
                <c:pt idx="0">
                  <c:v>41730</c:v>
                </c:pt>
                <c:pt idx="1">
                  <c:v>41822</c:v>
                </c:pt>
                <c:pt idx="2">
                  <c:v>41932</c:v>
                </c:pt>
                <c:pt idx="3">
                  <c:v>41996</c:v>
                </c:pt>
                <c:pt idx="4">
                  <c:v>42059</c:v>
                </c:pt>
              </c:numCache>
            </c:numRef>
          </c:cat>
          <c:val>
            <c:numRef>
              <c:f>Рейтинги!$S$18:$W$18</c:f>
              <c:numCache>
                <c:formatCode>General</c:formatCode>
                <c:ptCount val="5"/>
                <c:pt idx="0">
                  <c:v>4.5037450664359747E-2</c:v>
                </c:pt>
                <c:pt idx="1">
                  <c:v>4.6373881136407627E-2</c:v>
                </c:pt>
                <c:pt idx="2">
                  <c:v>5.2914014164693692E-2</c:v>
                </c:pt>
                <c:pt idx="3">
                  <c:v>6.2831969186640482E-2</c:v>
                </c:pt>
                <c:pt idx="4">
                  <c:v>7.0474946579422146E-2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0407936"/>
        <c:axId val="140409856"/>
      </c:lineChart>
      <c:dateAx>
        <c:axId val="1404079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accent1">
                  <a:lumMod val="20000"/>
                  <a:lumOff val="80000"/>
                </a:schemeClr>
              </a:solidFill>
              <a:round/>
            </a:ln>
            <a:effectLst/>
          </c:spPr>
        </c:majorGridlines>
        <c:numFmt formatCode="[$-419]mm\ yy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409856"/>
        <c:crosses val="autoZero"/>
        <c:auto val="1"/>
        <c:lblOffset val="100"/>
        <c:baseTimeUnit val="months"/>
        <c:majorUnit val="2"/>
        <c:majorTimeUnit val="months"/>
      </c:dateAx>
      <c:valAx>
        <c:axId val="140409856"/>
        <c:scaling>
          <c:orientation val="minMax"/>
          <c:max val="7.1000000000000008E-2"/>
          <c:min val="2.0000000000000007E-2"/>
        </c:scaling>
        <c:delete val="0"/>
        <c:axPos val="l"/>
        <c:majorGridlines>
          <c:spPr>
            <a:ln w="9525" cap="flat" cmpd="sng" algn="ctr">
              <a:solidFill>
                <a:schemeClr val="accent1">
                  <a:lumMod val="20000"/>
                  <a:lumOff val="8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407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VAR(95)</c:v>
          </c:tx>
          <c:spPr>
            <a:ln>
              <a:solidFill>
                <a:srgbClr val="0070C0"/>
              </a:solidFill>
            </a:ln>
          </c:spPr>
          <c:marker>
            <c:symbol val="none"/>
          </c:marker>
          <c:cat>
            <c:multiLvlStrRef>
              <c:f>VAR!$A$2:$B$16</c:f>
              <c:multiLvlStrCache>
                <c:ptCount val="1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</c:lvl>
                <c:lvl>
                  <c:pt idx="0">
                    <c:v>2014</c:v>
                  </c:pt>
                  <c:pt idx="1">
                    <c:v>2014</c:v>
                  </c:pt>
                  <c:pt idx="2">
                    <c:v>2014</c:v>
                  </c:pt>
                  <c:pt idx="3">
                    <c:v>2014</c:v>
                  </c:pt>
                  <c:pt idx="4">
                    <c:v>2014</c:v>
                  </c:pt>
                  <c:pt idx="5">
                    <c:v>2014</c:v>
                  </c:pt>
                  <c:pt idx="6">
                    <c:v>2014</c:v>
                  </c:pt>
                  <c:pt idx="7">
                    <c:v>2014</c:v>
                  </c:pt>
                  <c:pt idx="8">
                    <c:v>2014</c:v>
                  </c:pt>
                  <c:pt idx="9">
                    <c:v>2014</c:v>
                  </c:pt>
                  <c:pt idx="10">
                    <c:v>2014</c:v>
                  </c:pt>
                  <c:pt idx="11">
                    <c:v>2014</c:v>
                  </c:pt>
                  <c:pt idx="12">
                    <c:v>2015</c:v>
                  </c:pt>
                  <c:pt idx="13">
                    <c:v>2015</c:v>
                  </c:pt>
                  <c:pt idx="14">
                    <c:v>2015</c:v>
                  </c:pt>
                </c:lvl>
              </c:multiLvlStrCache>
            </c:multiLvlStrRef>
          </c:cat>
          <c:val>
            <c:numRef>
              <c:f>VAR!$H$2:$H$16</c:f>
              <c:numCache>
                <c:formatCode>General</c:formatCode>
                <c:ptCount val="15"/>
                <c:pt idx="0">
                  <c:v>0.16131467546540801</c:v>
                </c:pt>
                <c:pt idx="1">
                  <c:v>0.22102656887807701</c:v>
                </c:pt>
                <c:pt idx="2">
                  <c:v>0.87158844260241997</c:v>
                </c:pt>
                <c:pt idx="3">
                  <c:v>0.34922974700277598</c:v>
                </c:pt>
                <c:pt idx="4">
                  <c:v>0.33420106202995498</c:v>
                </c:pt>
                <c:pt idx="5">
                  <c:v>0.25459197645446502</c:v>
                </c:pt>
                <c:pt idx="6">
                  <c:v>0.35211793047585999</c:v>
                </c:pt>
                <c:pt idx="7">
                  <c:v>0.30164903819758898</c:v>
                </c:pt>
                <c:pt idx="8">
                  <c:v>0.32200149712496401</c:v>
                </c:pt>
                <c:pt idx="9">
                  <c:v>0.33287937962196901</c:v>
                </c:pt>
                <c:pt idx="10">
                  <c:v>0.21112579700332301</c:v>
                </c:pt>
                <c:pt idx="11">
                  <c:v>0.59290930727512703</c:v>
                </c:pt>
                <c:pt idx="12">
                  <c:v>0.49437164478964701</c:v>
                </c:pt>
                <c:pt idx="13">
                  <c:v>0.397674009445322</c:v>
                </c:pt>
                <c:pt idx="14">
                  <c:v>0.465744493293477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5337088"/>
        <c:axId val="155338624"/>
      </c:lineChart>
      <c:lineChart>
        <c:grouping val="standard"/>
        <c:varyColors val="0"/>
        <c:ser>
          <c:idx val="1"/>
          <c:order val="1"/>
          <c:tx>
            <c:v>ММВБ (сред. мес.)</c:v>
          </c:tx>
          <c:spPr>
            <a:ln>
              <a:solidFill>
                <a:srgbClr val="00B0F0"/>
              </a:solidFill>
            </a:ln>
          </c:spPr>
          <c:marker>
            <c:symbol val="none"/>
          </c:marker>
          <c:val>
            <c:numRef>
              <c:f>VAR!$I$2:$I$16</c:f>
              <c:numCache>
                <c:formatCode>General</c:formatCode>
                <c:ptCount val="15"/>
                <c:pt idx="0">
                  <c:v>1478.06105263158</c:v>
                </c:pt>
                <c:pt idx="1">
                  <c:v>1475.6195</c:v>
                </c:pt>
                <c:pt idx="2">
                  <c:v>1316.31</c:v>
                </c:pt>
                <c:pt idx="3">
                  <c:v>1338.3463636363599</c:v>
                </c:pt>
                <c:pt idx="4">
                  <c:v>1395.075</c:v>
                </c:pt>
                <c:pt idx="5">
                  <c:v>1485.0552631578901</c:v>
                </c:pt>
                <c:pt idx="6">
                  <c:v>1448.8991304347801</c:v>
                </c:pt>
                <c:pt idx="7">
                  <c:v>1404.18857142857</c:v>
                </c:pt>
                <c:pt idx="8">
                  <c:v>1441.7504545454501</c:v>
                </c:pt>
                <c:pt idx="9">
                  <c:v>1395.1791304347801</c:v>
                </c:pt>
                <c:pt idx="10">
                  <c:v>1515.47052631579</c:v>
                </c:pt>
                <c:pt idx="11">
                  <c:v>1469.9931818181799</c:v>
                </c:pt>
                <c:pt idx="12">
                  <c:v>1585.29666666667</c:v>
                </c:pt>
                <c:pt idx="13">
                  <c:v>1753.43947368421</c:v>
                </c:pt>
                <c:pt idx="14">
                  <c:v>1656.59857142857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5346048"/>
        <c:axId val="155340160"/>
      </c:lineChart>
      <c:catAx>
        <c:axId val="155337088"/>
        <c:scaling>
          <c:orientation val="minMax"/>
        </c:scaling>
        <c:delete val="0"/>
        <c:axPos val="b"/>
        <c:majorGridlines>
          <c:spPr>
            <a:ln>
              <a:solidFill>
                <a:schemeClr val="tx2">
                  <a:lumMod val="20000"/>
                  <a:lumOff val="80000"/>
                </a:schemeClr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crossAx val="155338624"/>
        <c:crosses val="autoZero"/>
        <c:auto val="1"/>
        <c:lblAlgn val="ctr"/>
        <c:lblOffset val="100"/>
        <c:tickLblSkip val="2"/>
        <c:noMultiLvlLbl val="1"/>
      </c:catAx>
      <c:valAx>
        <c:axId val="155338624"/>
        <c:scaling>
          <c:orientation val="minMax"/>
        </c:scaling>
        <c:delete val="0"/>
        <c:axPos val="l"/>
        <c:majorGridlines>
          <c:spPr>
            <a:ln>
              <a:solidFill>
                <a:schemeClr val="tx2">
                  <a:lumMod val="20000"/>
                  <a:lumOff val="80000"/>
                </a:schemeClr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55337088"/>
        <c:crosses val="autoZero"/>
        <c:crossBetween val="midCat"/>
      </c:valAx>
      <c:valAx>
        <c:axId val="155340160"/>
        <c:scaling>
          <c:orientation val="minMax"/>
          <c:max val="1800"/>
          <c:min val="1200"/>
        </c:scaling>
        <c:delete val="0"/>
        <c:axPos val="r"/>
        <c:numFmt formatCode="General" sourceLinked="1"/>
        <c:majorTickMark val="out"/>
        <c:minorTickMark val="none"/>
        <c:tickLblPos val="nextTo"/>
        <c:crossAx val="155346048"/>
        <c:crosses val="max"/>
        <c:crossBetween val="between"/>
      </c:valAx>
      <c:catAx>
        <c:axId val="155346048"/>
        <c:scaling>
          <c:orientation val="minMax"/>
        </c:scaling>
        <c:delete val="1"/>
        <c:axPos val="b"/>
        <c:majorTickMark val="out"/>
        <c:minorTickMark val="none"/>
        <c:tickLblPos val="none"/>
        <c:crossAx val="155340160"/>
        <c:crosses val="autoZero"/>
        <c:auto val="1"/>
        <c:lblAlgn val="ctr"/>
        <c:lblOffset val="100"/>
        <c:noMultiLvlLbl val="0"/>
      </c:cat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v>30.06.2014</c:v>
          </c:tx>
          <c:spPr>
            <a:ln w="19050">
              <a:solidFill>
                <a:schemeClr val="accent2">
                  <a:lumMod val="60000"/>
                  <a:lumOff val="40000"/>
                </a:schemeClr>
              </a:solidFill>
            </a:ln>
          </c:spPr>
          <c:marker>
            <c:symbol val="circle"/>
            <c:size val="3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marker>
          <c:yVal>
            <c:numRef>
              <c:f>'Процентные ставки'!$B$11:$AE$11</c:f>
              <c:numCache>
                <c:formatCode>0%</c:formatCode>
                <c:ptCount val="30"/>
                <c:pt idx="0">
                  <c:v>7.7800000000000022E-2</c:v>
                </c:pt>
                <c:pt idx="1">
                  <c:v>8.0900000000000014E-2</c:v>
                </c:pt>
                <c:pt idx="2">
                  <c:v>8.1600000000000006E-2</c:v>
                </c:pt>
                <c:pt idx="3">
                  <c:v>8.1300000000000011E-2</c:v>
                </c:pt>
                <c:pt idx="4">
                  <c:v>8.1900000000000001E-2</c:v>
                </c:pt>
                <c:pt idx="5">
                  <c:v>8.280000000000004E-2</c:v>
                </c:pt>
                <c:pt idx="6">
                  <c:v>8.3600000000000035E-2</c:v>
                </c:pt>
                <c:pt idx="7">
                  <c:v>8.4200000000000025E-2</c:v>
                </c:pt>
                <c:pt idx="8">
                  <c:v>8.4800000000000014E-2</c:v>
                </c:pt>
                <c:pt idx="9">
                  <c:v>8.5300000000000015E-2</c:v>
                </c:pt>
                <c:pt idx="10">
                  <c:v>8.5700000000000026E-2</c:v>
                </c:pt>
                <c:pt idx="11">
                  <c:v>8.6000000000000021E-2</c:v>
                </c:pt>
                <c:pt idx="12">
                  <c:v>8.6300000000000002E-2</c:v>
                </c:pt>
                <c:pt idx="13">
                  <c:v>8.6500000000000007E-2</c:v>
                </c:pt>
                <c:pt idx="14">
                  <c:v>8.6800000000000002E-2</c:v>
                </c:pt>
                <c:pt idx="15">
                  <c:v>8.7000000000000022E-2</c:v>
                </c:pt>
                <c:pt idx="16">
                  <c:v>8.7100000000000025E-2</c:v>
                </c:pt>
                <c:pt idx="17">
                  <c:v>8.7300000000000003E-2</c:v>
                </c:pt>
                <c:pt idx="18">
                  <c:v>8.7399999999999992E-2</c:v>
                </c:pt>
                <c:pt idx="19">
                  <c:v>8.7500000000000008E-2</c:v>
                </c:pt>
                <c:pt idx="20">
                  <c:v>8.7600000000000025E-2</c:v>
                </c:pt>
                <c:pt idx="21">
                  <c:v>8.77E-2</c:v>
                </c:pt>
                <c:pt idx="22">
                  <c:v>8.7800000000000045E-2</c:v>
                </c:pt>
                <c:pt idx="23">
                  <c:v>8.790000000000002E-2</c:v>
                </c:pt>
                <c:pt idx="24">
                  <c:v>8.8000000000000037E-2</c:v>
                </c:pt>
                <c:pt idx="25">
                  <c:v>8.8000000000000037E-2</c:v>
                </c:pt>
                <c:pt idx="26">
                  <c:v>8.8100000000000039E-2</c:v>
                </c:pt>
                <c:pt idx="27">
                  <c:v>8.8200000000000014E-2</c:v>
                </c:pt>
                <c:pt idx="28">
                  <c:v>8.8200000000000014E-2</c:v>
                </c:pt>
                <c:pt idx="29">
                  <c:v>8.8300000000000017E-2</c:v>
                </c:pt>
              </c:numCache>
            </c:numRef>
          </c:yVal>
          <c:smooth val="0"/>
        </c:ser>
        <c:ser>
          <c:idx val="4"/>
          <c:order val="2"/>
          <c:tx>
            <c:v>30.06.2008</c:v>
          </c:tx>
          <c:spPr>
            <a:ln w="19050">
              <a:solidFill>
                <a:schemeClr val="accent5">
                  <a:lumMod val="60000"/>
                  <a:lumOff val="40000"/>
                </a:schemeClr>
              </a:solidFill>
            </a:ln>
          </c:spPr>
          <c:marker>
            <c:symbol val="circle"/>
            <c:size val="3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solidFill>
                  <a:schemeClr val="accent5">
                    <a:lumMod val="60000"/>
                    <a:lumOff val="40000"/>
                  </a:schemeClr>
                </a:solidFill>
              </a:ln>
            </c:spPr>
          </c:marker>
          <c:yVal>
            <c:numRef>
              <c:f>'Процентные ставки'!$B$13:$AE$13</c:f>
              <c:numCache>
                <c:formatCode>0%</c:formatCode>
                <c:ptCount val="30"/>
                <c:pt idx="0">
                  <c:v>5.3699999999999998E-2</c:v>
                </c:pt>
                <c:pt idx="1">
                  <c:v>5.9500000000000011E-2</c:v>
                </c:pt>
                <c:pt idx="2">
                  <c:v>6.1300000000000007E-2</c:v>
                </c:pt>
                <c:pt idx="3">
                  <c:v>6.1100000000000002E-2</c:v>
                </c:pt>
                <c:pt idx="4">
                  <c:v>6.2699999999999992E-2</c:v>
                </c:pt>
                <c:pt idx="5">
                  <c:v>6.4600000000000019E-2</c:v>
                </c:pt>
                <c:pt idx="6">
                  <c:v>6.6000000000000003E-2</c:v>
                </c:pt>
                <c:pt idx="7">
                  <c:v>6.7099999999999993E-2</c:v>
                </c:pt>
                <c:pt idx="8">
                  <c:v>6.8000000000000019E-2</c:v>
                </c:pt>
                <c:pt idx="9">
                  <c:v>6.8699999999999997E-2</c:v>
                </c:pt>
                <c:pt idx="10">
                  <c:v>6.9300000000000014E-2</c:v>
                </c:pt>
                <c:pt idx="11">
                  <c:v>6.9700000000000012E-2</c:v>
                </c:pt>
                <c:pt idx="12">
                  <c:v>7.010000000000001E-2</c:v>
                </c:pt>
                <c:pt idx="13">
                  <c:v>7.0499999999999993E-2</c:v>
                </c:pt>
                <c:pt idx="14">
                  <c:v>7.0800000000000002E-2</c:v>
                </c:pt>
                <c:pt idx="15">
                  <c:v>7.0999999999999994E-2</c:v>
                </c:pt>
                <c:pt idx="16">
                  <c:v>7.1199999999999999E-2</c:v>
                </c:pt>
                <c:pt idx="17">
                  <c:v>7.1399999999999991E-2</c:v>
                </c:pt>
                <c:pt idx="18">
                  <c:v>7.1599999999999997E-2</c:v>
                </c:pt>
                <c:pt idx="19">
                  <c:v>7.1800000000000003E-2</c:v>
                </c:pt>
                <c:pt idx="20">
                  <c:v>7.1900000000000006E-2</c:v>
                </c:pt>
                <c:pt idx="21">
                  <c:v>7.2100000000000011E-2</c:v>
                </c:pt>
                <c:pt idx="22">
                  <c:v>7.22E-2</c:v>
                </c:pt>
                <c:pt idx="23">
                  <c:v>7.2300000000000017E-2</c:v>
                </c:pt>
                <c:pt idx="24">
                  <c:v>7.240000000000002E-2</c:v>
                </c:pt>
                <c:pt idx="25">
                  <c:v>7.2500000000000009E-2</c:v>
                </c:pt>
                <c:pt idx="26">
                  <c:v>7.2600000000000012E-2</c:v>
                </c:pt>
                <c:pt idx="27">
                  <c:v>7.2700000000000015E-2</c:v>
                </c:pt>
                <c:pt idx="28">
                  <c:v>7.2700000000000015E-2</c:v>
                </c:pt>
                <c:pt idx="29">
                  <c:v>7.2800000000000017E-2</c:v>
                </c:pt>
              </c:numCache>
            </c:numRef>
          </c:yVal>
          <c:smooth val="0"/>
        </c:ser>
        <c:ser>
          <c:idx val="7"/>
          <c:order val="3"/>
          <c:tx>
            <c:v>30.03.2009</c:v>
          </c:tx>
          <c:spPr>
            <a:ln w="19050">
              <a:solidFill>
                <a:schemeClr val="accent1"/>
              </a:solidFill>
            </a:ln>
          </c:spPr>
          <c:marker>
            <c:symbol val="circle"/>
            <c:size val="3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solidFill>
                  <a:schemeClr val="accent1"/>
                </a:solidFill>
              </a:ln>
            </c:spPr>
          </c:marker>
          <c:yVal>
            <c:numRef>
              <c:f>'Процентные ставки'!$B$14:$AE$14</c:f>
              <c:numCache>
                <c:formatCode>0%</c:formatCode>
                <c:ptCount val="30"/>
                <c:pt idx="0">
                  <c:v>9.9800000000000014E-2</c:v>
                </c:pt>
                <c:pt idx="1">
                  <c:v>0.11670000000000001</c:v>
                </c:pt>
                <c:pt idx="2">
                  <c:v>0.11789999999999998</c:v>
                </c:pt>
                <c:pt idx="3">
                  <c:v>0.11230000000000001</c:v>
                </c:pt>
                <c:pt idx="4">
                  <c:v>0.1115</c:v>
                </c:pt>
                <c:pt idx="5">
                  <c:v>0.11230000000000001</c:v>
                </c:pt>
                <c:pt idx="6">
                  <c:v>0.113</c:v>
                </c:pt>
                <c:pt idx="7">
                  <c:v>0.11349999999999998</c:v>
                </c:pt>
                <c:pt idx="8">
                  <c:v>0.1139</c:v>
                </c:pt>
                <c:pt idx="9">
                  <c:v>0.11420000000000001</c:v>
                </c:pt>
                <c:pt idx="10">
                  <c:v>0.1144</c:v>
                </c:pt>
                <c:pt idx="11">
                  <c:v>0.11460000000000002</c:v>
                </c:pt>
                <c:pt idx="12">
                  <c:v>0.1148</c:v>
                </c:pt>
                <c:pt idx="13">
                  <c:v>0.1149</c:v>
                </c:pt>
                <c:pt idx="14">
                  <c:v>0.115</c:v>
                </c:pt>
                <c:pt idx="15">
                  <c:v>0.11520000000000001</c:v>
                </c:pt>
                <c:pt idx="16">
                  <c:v>0.11520000000000001</c:v>
                </c:pt>
                <c:pt idx="17">
                  <c:v>0.1153</c:v>
                </c:pt>
                <c:pt idx="18">
                  <c:v>0.11539999999999997</c:v>
                </c:pt>
                <c:pt idx="19">
                  <c:v>0.11550000000000002</c:v>
                </c:pt>
                <c:pt idx="20">
                  <c:v>0.11550000000000002</c:v>
                </c:pt>
                <c:pt idx="21">
                  <c:v>0.11560000000000002</c:v>
                </c:pt>
                <c:pt idx="22">
                  <c:v>0.11560000000000002</c:v>
                </c:pt>
                <c:pt idx="23">
                  <c:v>0.11570000000000001</c:v>
                </c:pt>
                <c:pt idx="24">
                  <c:v>0.11570000000000001</c:v>
                </c:pt>
                <c:pt idx="25">
                  <c:v>0.1158</c:v>
                </c:pt>
                <c:pt idx="26">
                  <c:v>0.1158</c:v>
                </c:pt>
                <c:pt idx="27">
                  <c:v>0.1158</c:v>
                </c:pt>
                <c:pt idx="28">
                  <c:v>0.1159</c:v>
                </c:pt>
                <c:pt idx="29">
                  <c:v>0.1159</c:v>
                </c:pt>
              </c:numCache>
            </c:numRef>
          </c:yVal>
          <c:smooth val="0"/>
        </c:ser>
        <c:ser>
          <c:idx val="2"/>
          <c:order val="1"/>
          <c:tx>
            <c:v>29.12.2014</c:v>
          </c:tx>
          <c:spPr>
            <a:ln w="19050">
              <a:solidFill>
                <a:schemeClr val="accent2">
                  <a:lumMod val="75000"/>
                </a:schemeClr>
              </a:solidFill>
            </a:ln>
          </c:spPr>
          <c:marker>
            <c:symbol val="circle"/>
            <c:size val="3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75000"/>
                  </a:schemeClr>
                </a:solidFill>
              </a:ln>
            </c:spPr>
          </c:marker>
          <c:yVal>
            <c:numRef>
              <c:f>'Процентные ставки'!$B$12:$AE$12</c:f>
              <c:numCache>
                <c:formatCode>0%</c:formatCode>
                <c:ptCount val="30"/>
                <c:pt idx="0">
                  <c:v>0.14219999999999999</c:v>
                </c:pt>
                <c:pt idx="1">
                  <c:v>0.15340000000000004</c:v>
                </c:pt>
                <c:pt idx="2">
                  <c:v>0.15470000000000003</c:v>
                </c:pt>
                <c:pt idx="3">
                  <c:v>0.15040000000000001</c:v>
                </c:pt>
                <c:pt idx="4">
                  <c:v>0.14660000000000001</c:v>
                </c:pt>
                <c:pt idx="5">
                  <c:v>0.14350000000000002</c:v>
                </c:pt>
                <c:pt idx="6">
                  <c:v>0.14080000000000001</c:v>
                </c:pt>
                <c:pt idx="7">
                  <c:v>0.13840000000000002</c:v>
                </c:pt>
                <c:pt idx="8">
                  <c:v>0.13619999999999999</c:v>
                </c:pt>
                <c:pt idx="9">
                  <c:v>0.13439999999999999</c:v>
                </c:pt>
                <c:pt idx="10">
                  <c:v>0.13269999999999998</c:v>
                </c:pt>
                <c:pt idx="11">
                  <c:v>0.13119999999999998</c:v>
                </c:pt>
                <c:pt idx="12">
                  <c:v>0.12990000000000004</c:v>
                </c:pt>
                <c:pt idx="13">
                  <c:v>0.12869999999999998</c:v>
                </c:pt>
                <c:pt idx="14">
                  <c:v>0.12770000000000001</c:v>
                </c:pt>
                <c:pt idx="15">
                  <c:v>0.12670000000000001</c:v>
                </c:pt>
                <c:pt idx="16">
                  <c:v>0.12590000000000001</c:v>
                </c:pt>
                <c:pt idx="17">
                  <c:v>0.12509999999999999</c:v>
                </c:pt>
                <c:pt idx="18">
                  <c:v>0.12440000000000001</c:v>
                </c:pt>
                <c:pt idx="19">
                  <c:v>0.12369999999999999</c:v>
                </c:pt>
                <c:pt idx="20">
                  <c:v>0.12310000000000001</c:v>
                </c:pt>
                <c:pt idx="21">
                  <c:v>0.12260000000000001</c:v>
                </c:pt>
                <c:pt idx="22">
                  <c:v>0.12210000000000003</c:v>
                </c:pt>
                <c:pt idx="23">
                  <c:v>0.12160000000000001</c:v>
                </c:pt>
                <c:pt idx="24">
                  <c:v>0.12119999999999999</c:v>
                </c:pt>
                <c:pt idx="25">
                  <c:v>0.1208</c:v>
                </c:pt>
                <c:pt idx="26">
                  <c:v>0.12050000000000002</c:v>
                </c:pt>
                <c:pt idx="27">
                  <c:v>0.12010000000000001</c:v>
                </c:pt>
                <c:pt idx="28">
                  <c:v>0.1198</c:v>
                </c:pt>
                <c:pt idx="29">
                  <c:v>0.11950000000000001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5367680"/>
        <c:axId val="155373952"/>
      </c:scatterChart>
      <c:valAx>
        <c:axId val="155367680"/>
        <c:scaling>
          <c:orientation val="minMax"/>
          <c:max val="30"/>
          <c:min val="1"/>
        </c:scaling>
        <c:delete val="0"/>
        <c:axPos val="b"/>
        <c:majorGridlines>
          <c:spPr>
            <a:ln>
              <a:solidFill>
                <a:schemeClr val="accent1">
                  <a:lumMod val="20000"/>
                  <a:lumOff val="80000"/>
                </a:schemeClr>
              </a:solidFill>
            </a:ln>
          </c:spPr>
        </c:majorGridlines>
        <c:majorTickMark val="none"/>
        <c:minorTickMark val="none"/>
        <c:tickLblPos val="nextTo"/>
        <c:crossAx val="155373952"/>
        <c:crosses val="autoZero"/>
        <c:crossBetween val="midCat"/>
        <c:majorUnit val="3"/>
      </c:valAx>
      <c:valAx>
        <c:axId val="155373952"/>
        <c:scaling>
          <c:orientation val="minMax"/>
          <c:max val="0.17"/>
          <c:min val="4.0000000000000015E-2"/>
        </c:scaling>
        <c:delete val="0"/>
        <c:axPos val="l"/>
        <c:majorGridlines>
          <c:spPr>
            <a:ln>
              <a:solidFill>
                <a:schemeClr val="accent1">
                  <a:lumMod val="20000"/>
                  <a:lumOff val="80000"/>
                </a:schemeClr>
              </a:solidFill>
            </a:ln>
          </c:spPr>
        </c:majorGridlines>
        <c:numFmt formatCode="0%" sourceLinked="1"/>
        <c:majorTickMark val="none"/>
        <c:minorTickMark val="none"/>
        <c:tickLblPos val="nextTo"/>
        <c:crossAx val="155367680"/>
        <c:crosses val="autoZero"/>
        <c:crossBetween val="midCat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v>Дюрация (дней)</c:v>
          </c:tx>
          <c:marker>
            <c:symbol val="circle"/>
            <c:size val="3"/>
            <c:spPr>
              <a:solidFill>
                <a:srgbClr val="0070C0"/>
              </a:solidFill>
              <a:ln>
                <a:solidFill>
                  <a:srgbClr val="0070C0"/>
                </a:solidFill>
              </a:ln>
            </c:spPr>
          </c:marker>
          <c:cat>
            <c:numRef>
              <c:f>Дюрация!$D$431:$D$436</c:f>
              <c:numCache>
                <c:formatCode>m/d/yyyy</c:formatCode>
                <c:ptCount val="6"/>
                <c:pt idx="0">
                  <c:v>41625</c:v>
                </c:pt>
                <c:pt idx="1">
                  <c:v>41716</c:v>
                </c:pt>
                <c:pt idx="2">
                  <c:v>41807</c:v>
                </c:pt>
                <c:pt idx="3">
                  <c:v>41898</c:v>
                </c:pt>
                <c:pt idx="4">
                  <c:v>41989</c:v>
                </c:pt>
                <c:pt idx="5">
                  <c:v>42080</c:v>
                </c:pt>
              </c:numCache>
            </c:numRef>
          </c:cat>
          <c:val>
            <c:numRef>
              <c:f>Дюрация!$C$431:$C$436</c:f>
              <c:numCache>
                <c:formatCode>General</c:formatCode>
                <c:ptCount val="6"/>
                <c:pt idx="0">
                  <c:v>722.74919999999997</c:v>
                </c:pt>
                <c:pt idx="1">
                  <c:v>678.52810000000011</c:v>
                </c:pt>
                <c:pt idx="2">
                  <c:v>543.18859999999995</c:v>
                </c:pt>
                <c:pt idx="3">
                  <c:v>532.4798000000003</c:v>
                </c:pt>
                <c:pt idx="4">
                  <c:v>518.38970000000029</c:v>
                </c:pt>
                <c:pt idx="5">
                  <c:v>476.13890000000004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3614592"/>
        <c:axId val="173616512"/>
      </c:lineChart>
      <c:lineChart>
        <c:grouping val="standard"/>
        <c:varyColors val="0"/>
        <c:ser>
          <c:idx val="1"/>
          <c:order val="1"/>
          <c:tx>
            <c:v>Liquidity cost</c:v>
          </c:tx>
          <c:spPr>
            <a:ln>
              <a:solidFill>
                <a:srgbClr val="00B0F0"/>
              </a:solidFill>
            </a:ln>
          </c:spPr>
          <c:marker>
            <c:symbol val="circle"/>
            <c:size val="3"/>
            <c:spPr>
              <a:solidFill>
                <a:srgbClr val="00B0F0"/>
              </a:solidFill>
              <a:ln>
                <a:solidFill>
                  <a:srgbClr val="00B0F0"/>
                </a:solidFill>
              </a:ln>
            </c:spPr>
          </c:marker>
          <c:val>
            <c:numRef>
              <c:f>Дюрация!$K$92:$K$427</c:f>
              <c:numCache>
                <c:formatCode>General</c:formatCode>
                <c:ptCount val="6"/>
                <c:pt idx="0">
                  <c:v>1.138657723725444E-2</c:v>
                </c:pt>
                <c:pt idx="1">
                  <c:v>1.8150985501599933E-2</c:v>
                </c:pt>
                <c:pt idx="2">
                  <c:v>2.4290366421229996E-2</c:v>
                </c:pt>
                <c:pt idx="3">
                  <c:v>3.2738817511470175E-2</c:v>
                </c:pt>
                <c:pt idx="4">
                  <c:v>4.4911761947559171E-2</c:v>
                </c:pt>
                <c:pt idx="5">
                  <c:v>4.1372935299512831E-2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3628032"/>
        <c:axId val="173626496"/>
      </c:lineChart>
      <c:dateAx>
        <c:axId val="173614592"/>
        <c:scaling>
          <c:orientation val="minMax"/>
        </c:scaling>
        <c:delete val="0"/>
        <c:axPos val="b"/>
        <c:majorGridlines>
          <c:spPr>
            <a:ln>
              <a:solidFill>
                <a:schemeClr val="accent1">
                  <a:lumMod val="20000"/>
                  <a:lumOff val="80000"/>
                </a:schemeClr>
              </a:solidFill>
            </a:ln>
          </c:spPr>
        </c:majorGridlines>
        <c:numFmt formatCode="[$-419]mm\ yyyy;@" sourceLinked="0"/>
        <c:majorTickMark val="none"/>
        <c:minorTickMark val="none"/>
        <c:tickLblPos val="nextTo"/>
        <c:crossAx val="173616512"/>
        <c:crosses val="autoZero"/>
        <c:auto val="1"/>
        <c:lblOffset val="100"/>
        <c:baseTimeUnit val="months"/>
        <c:majorUnit val="3"/>
        <c:majorTimeUnit val="months"/>
        <c:minorUnit val="1"/>
        <c:minorTimeUnit val="months"/>
      </c:dateAx>
      <c:valAx>
        <c:axId val="173616512"/>
        <c:scaling>
          <c:orientation val="minMax"/>
          <c:min val="450"/>
        </c:scaling>
        <c:delete val="0"/>
        <c:axPos val="l"/>
        <c:majorGridlines>
          <c:spPr>
            <a:ln>
              <a:solidFill>
                <a:schemeClr val="accent1">
                  <a:lumMod val="20000"/>
                  <a:lumOff val="80000"/>
                </a:schemeClr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crossAx val="173614592"/>
        <c:crosses val="autoZero"/>
        <c:crossBetween val="midCat"/>
      </c:valAx>
      <c:valAx>
        <c:axId val="173626496"/>
        <c:scaling>
          <c:orientation val="minMax"/>
          <c:max val="4.6000000000000013E-2"/>
          <c:min val="1.0000000000000004E-2"/>
        </c:scaling>
        <c:delete val="0"/>
        <c:axPos val="r"/>
        <c:numFmt formatCode="General" sourceLinked="1"/>
        <c:majorTickMark val="out"/>
        <c:minorTickMark val="none"/>
        <c:tickLblPos val="nextTo"/>
        <c:crossAx val="173628032"/>
        <c:crosses val="max"/>
        <c:crossBetween val="between"/>
      </c:valAx>
      <c:catAx>
        <c:axId val="173628032"/>
        <c:scaling>
          <c:orientation val="minMax"/>
        </c:scaling>
        <c:delete val="1"/>
        <c:axPos val="b"/>
        <c:majorTickMark val="out"/>
        <c:minorTickMark val="none"/>
        <c:tickLblPos val="none"/>
        <c:crossAx val="173626496"/>
        <c:crosses val="autoZero"/>
        <c:auto val="1"/>
        <c:lblAlgn val="ctr"/>
        <c:lblOffset val="100"/>
        <c:noMultiLvlLbl val="0"/>
      </c:cat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VAR(95)</c:v>
          </c:tx>
          <c:marker>
            <c:symbol val="circle"/>
            <c:size val="3"/>
            <c:spPr>
              <a:solidFill>
                <a:srgbClr val="0070C0"/>
              </a:solidFill>
              <a:ln>
                <a:solidFill>
                  <a:srgbClr val="0070C0"/>
                </a:solidFill>
              </a:ln>
            </c:spPr>
          </c:marker>
          <c:cat>
            <c:numRef>
              <c:f>Дюрация!$E$431:$E$436</c:f>
              <c:numCache>
                <c:formatCode>m/d/yyyy</c:formatCode>
                <c:ptCount val="6"/>
                <c:pt idx="0">
                  <c:v>41625</c:v>
                </c:pt>
                <c:pt idx="1">
                  <c:v>41716</c:v>
                </c:pt>
                <c:pt idx="2">
                  <c:v>41807</c:v>
                </c:pt>
                <c:pt idx="3">
                  <c:v>41898</c:v>
                </c:pt>
                <c:pt idx="4">
                  <c:v>41989</c:v>
                </c:pt>
                <c:pt idx="5">
                  <c:v>42080</c:v>
                </c:pt>
              </c:numCache>
            </c:numRef>
          </c:cat>
          <c:val>
            <c:numRef>
              <c:f>Дюрация!$F$431:$F$436</c:f>
              <c:numCache>
                <c:formatCode>General</c:formatCode>
                <c:ptCount val="6"/>
                <c:pt idx="0">
                  <c:v>6.9297479513804994E-2</c:v>
                </c:pt>
                <c:pt idx="1">
                  <c:v>0.14145908971069296</c:v>
                </c:pt>
                <c:pt idx="2">
                  <c:v>0.15446359694084244</c:v>
                </c:pt>
                <c:pt idx="3">
                  <c:v>0.21009209758306632</c:v>
                </c:pt>
                <c:pt idx="4">
                  <c:v>0.315380276577437</c:v>
                </c:pt>
                <c:pt idx="5">
                  <c:v>0.43493319888109055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3637632"/>
        <c:axId val="173639552"/>
      </c:lineChart>
      <c:scatterChart>
        <c:scatterStyle val="lineMarker"/>
        <c:varyColors val="0"/>
        <c:ser>
          <c:idx val="1"/>
          <c:order val="1"/>
          <c:tx>
            <c:v>MIACR (от 8 до 30 дн.)</c:v>
          </c:tx>
          <c:spPr>
            <a:ln w="19050">
              <a:solidFill>
                <a:srgbClr val="00B0F0"/>
              </a:solidFill>
            </a:ln>
          </c:spPr>
          <c:marker>
            <c:symbol val="circle"/>
            <c:size val="3"/>
            <c:spPr>
              <a:solidFill>
                <a:srgbClr val="00B0F0"/>
              </a:solidFill>
              <a:ln>
                <a:solidFill>
                  <a:srgbClr val="00B0F0"/>
                </a:solidFill>
              </a:ln>
            </c:spPr>
          </c:marker>
          <c:xVal>
            <c:numRef>
              <c:f>Дюрация!$Q$441:$Q$456</c:f>
              <c:numCache>
                <c:formatCode>m/d/yyyy</c:formatCode>
                <c:ptCount val="16"/>
                <c:pt idx="0">
                  <c:v>41623</c:v>
                </c:pt>
                <c:pt idx="1">
                  <c:v>41654</c:v>
                </c:pt>
                <c:pt idx="2">
                  <c:v>41685</c:v>
                </c:pt>
                <c:pt idx="3">
                  <c:v>41713</c:v>
                </c:pt>
                <c:pt idx="4">
                  <c:v>41744</c:v>
                </c:pt>
                <c:pt idx="5">
                  <c:v>41774</c:v>
                </c:pt>
                <c:pt idx="6">
                  <c:v>41805</c:v>
                </c:pt>
                <c:pt idx="7">
                  <c:v>41835</c:v>
                </c:pt>
                <c:pt idx="8">
                  <c:v>41866</c:v>
                </c:pt>
                <c:pt idx="9">
                  <c:v>41897</c:v>
                </c:pt>
                <c:pt idx="10">
                  <c:v>41927</c:v>
                </c:pt>
                <c:pt idx="11">
                  <c:v>41958</c:v>
                </c:pt>
                <c:pt idx="12">
                  <c:v>41988</c:v>
                </c:pt>
                <c:pt idx="13">
                  <c:v>42019</c:v>
                </c:pt>
                <c:pt idx="14">
                  <c:v>42050</c:v>
                </c:pt>
                <c:pt idx="15">
                  <c:v>42078</c:v>
                </c:pt>
              </c:numCache>
            </c:numRef>
          </c:xVal>
          <c:yVal>
            <c:numRef>
              <c:f>Дюрация!$P$441:$P$456</c:f>
              <c:numCache>
                <c:formatCode>General</c:formatCode>
                <c:ptCount val="16"/>
                <c:pt idx="0">
                  <c:v>6.8895238095238107E-2</c:v>
                </c:pt>
                <c:pt idx="1">
                  <c:v>7.0162500000000017E-2</c:v>
                </c:pt>
                <c:pt idx="2">
                  <c:v>7.1241176470588224E-2</c:v>
                </c:pt>
                <c:pt idx="3">
                  <c:v>8.4893333333333335E-2</c:v>
                </c:pt>
                <c:pt idx="4">
                  <c:v>8.6725000000000038E-2</c:v>
                </c:pt>
                <c:pt idx="5">
                  <c:v>9.106842105263159E-2</c:v>
                </c:pt>
                <c:pt idx="6">
                  <c:v>9.1021052631578947E-2</c:v>
                </c:pt>
                <c:pt idx="7">
                  <c:v>8.9382608695652191E-2</c:v>
                </c:pt>
                <c:pt idx="8">
                  <c:v>9.2428571428571429E-2</c:v>
                </c:pt>
                <c:pt idx="9">
                  <c:v>8.9609523809523806E-2</c:v>
                </c:pt>
                <c:pt idx="10">
                  <c:v>9.1795652173913084E-2</c:v>
                </c:pt>
                <c:pt idx="11">
                  <c:v>0.10942777777777779</c:v>
                </c:pt>
                <c:pt idx="12">
                  <c:v>0.1668</c:v>
                </c:pt>
                <c:pt idx="13">
                  <c:v>0.19967499999999996</c:v>
                </c:pt>
                <c:pt idx="14">
                  <c:v>0.15833750000000005</c:v>
                </c:pt>
                <c:pt idx="15">
                  <c:v>0.15732499999999999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3651072"/>
        <c:axId val="173641088"/>
      </c:scatterChart>
      <c:dateAx>
        <c:axId val="173637632"/>
        <c:scaling>
          <c:orientation val="minMax"/>
          <c:max val="42083"/>
          <c:min val="41623"/>
        </c:scaling>
        <c:delete val="0"/>
        <c:axPos val="b"/>
        <c:majorGridlines>
          <c:spPr>
            <a:ln>
              <a:solidFill>
                <a:schemeClr val="accent1">
                  <a:lumMod val="20000"/>
                  <a:lumOff val="80000"/>
                </a:schemeClr>
              </a:solidFill>
            </a:ln>
          </c:spPr>
        </c:majorGridlines>
        <c:numFmt formatCode="[$-419]mm\ yyyy;@" sourceLinked="0"/>
        <c:majorTickMark val="out"/>
        <c:minorTickMark val="none"/>
        <c:tickLblPos val="nextTo"/>
        <c:crossAx val="173639552"/>
        <c:crosses val="autoZero"/>
        <c:auto val="1"/>
        <c:lblOffset val="100"/>
        <c:baseTimeUnit val="days"/>
        <c:majorUnit val="60"/>
        <c:majorTimeUnit val="days"/>
      </c:dateAx>
      <c:valAx>
        <c:axId val="173639552"/>
        <c:scaling>
          <c:orientation val="minMax"/>
          <c:max val="0.45"/>
          <c:min val="5.0000000000000017E-2"/>
        </c:scaling>
        <c:delete val="0"/>
        <c:axPos val="l"/>
        <c:majorGridlines>
          <c:spPr>
            <a:ln>
              <a:solidFill>
                <a:schemeClr val="accent1">
                  <a:lumMod val="20000"/>
                  <a:lumOff val="80000"/>
                </a:schemeClr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crossAx val="173637632"/>
        <c:crosses val="autoZero"/>
        <c:crossBetween val="between"/>
      </c:valAx>
      <c:valAx>
        <c:axId val="173641088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crossAx val="173651072"/>
        <c:crosses val="max"/>
        <c:crossBetween val="midCat"/>
      </c:valAx>
      <c:valAx>
        <c:axId val="173651072"/>
        <c:scaling>
          <c:orientation val="minMax"/>
          <c:max val="42083"/>
          <c:min val="41623"/>
        </c:scaling>
        <c:delete val="0"/>
        <c:axPos val="t"/>
        <c:numFmt formatCode="[$-419]mm\ yyyy;@" sourceLinked="0"/>
        <c:majorTickMark val="out"/>
        <c:minorTickMark val="none"/>
        <c:tickLblPos val="nextTo"/>
        <c:crossAx val="173641088"/>
        <c:crosses val="max"/>
        <c:crossBetween val="midCat"/>
        <c:majorUnit val="60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v>ТОП 10</c:v>
          </c:tx>
          <c:marker>
            <c:symbol val="circle"/>
            <c:size val="3"/>
            <c:spPr>
              <a:solidFill>
                <a:schemeClr val="accent1"/>
              </a:solidFill>
            </c:spPr>
          </c:marker>
          <c:cat>
            <c:numRef>
              <c:f>ПЗ!$AD$2:$AD$8</c:f>
              <c:numCache>
                <c:formatCode>m/d/yyyy</c:formatCode>
                <c:ptCount val="7"/>
                <c:pt idx="0">
                  <c:v>39447</c:v>
                </c:pt>
                <c:pt idx="1">
                  <c:v>39538</c:v>
                </c:pt>
                <c:pt idx="2">
                  <c:v>39629</c:v>
                </c:pt>
                <c:pt idx="3">
                  <c:v>39721</c:v>
                </c:pt>
                <c:pt idx="4">
                  <c:v>39813</c:v>
                </c:pt>
                <c:pt idx="5">
                  <c:v>39903</c:v>
                </c:pt>
                <c:pt idx="6">
                  <c:v>39994</c:v>
                </c:pt>
              </c:numCache>
            </c:numRef>
          </c:cat>
          <c:val>
            <c:numRef>
              <c:f>ПЗ!$Y$2:$Y$8</c:f>
              <c:numCache>
                <c:formatCode>General</c:formatCode>
                <c:ptCount val="7"/>
                <c:pt idx="0">
                  <c:v>1.0790126378128541E-2</c:v>
                </c:pt>
                <c:pt idx="1">
                  <c:v>1.096789505669753E-2</c:v>
                </c:pt>
                <c:pt idx="2">
                  <c:v>1.136251411702072E-2</c:v>
                </c:pt>
                <c:pt idx="3">
                  <c:v>1.2981084231849394E-2</c:v>
                </c:pt>
                <c:pt idx="4">
                  <c:v>2.0753340276115518E-2</c:v>
                </c:pt>
                <c:pt idx="5">
                  <c:v>3.1491905682792157E-2</c:v>
                </c:pt>
                <c:pt idx="6">
                  <c:v>4.2173724994446292E-2</c:v>
                </c:pt>
              </c:numCache>
            </c:numRef>
          </c:val>
          <c:smooth val="1"/>
        </c:ser>
        <c:ser>
          <c:idx val="1"/>
          <c:order val="1"/>
          <c:tx>
            <c:v>ТОП 9 (без учета Сбербанка)</c:v>
          </c:tx>
          <c:spPr>
            <a:ln>
              <a:solidFill>
                <a:srgbClr val="00B0F0"/>
              </a:solidFill>
            </a:ln>
          </c:spPr>
          <c:marker>
            <c:symbol val="circle"/>
            <c:size val="3"/>
            <c:spPr>
              <a:solidFill>
                <a:srgbClr val="00B0F0"/>
              </a:solidFill>
              <a:ln>
                <a:solidFill>
                  <a:srgbClr val="00B0F0"/>
                </a:solidFill>
              </a:ln>
            </c:spPr>
          </c:marker>
          <c:val>
            <c:numRef>
              <c:f>ПЗ!$AC$2:$AC$8</c:f>
              <c:numCache>
                <c:formatCode>General</c:formatCode>
                <c:ptCount val="7"/>
                <c:pt idx="0">
                  <c:v>1.1798549746086401E-2</c:v>
                </c:pt>
                <c:pt idx="1">
                  <c:v>1.2518088505834841E-2</c:v>
                </c:pt>
                <c:pt idx="2">
                  <c:v>1.2855735264869229E-2</c:v>
                </c:pt>
                <c:pt idx="3">
                  <c:v>1.4997032963201488E-2</c:v>
                </c:pt>
                <c:pt idx="4">
                  <c:v>2.4674329901899467E-2</c:v>
                </c:pt>
                <c:pt idx="5">
                  <c:v>3.9522808424843743E-2</c:v>
                </c:pt>
                <c:pt idx="6">
                  <c:v>5.6976991317417368E-2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3663360"/>
        <c:axId val="173665280"/>
      </c:lineChart>
      <c:dateAx>
        <c:axId val="173663360"/>
        <c:scaling>
          <c:orientation val="minMax"/>
        </c:scaling>
        <c:delete val="0"/>
        <c:axPos val="b"/>
        <c:majorGridlines>
          <c:spPr>
            <a:ln>
              <a:solidFill>
                <a:schemeClr val="accent1">
                  <a:lumMod val="20000"/>
                  <a:lumOff val="80000"/>
                </a:schemeClr>
              </a:solidFill>
            </a:ln>
          </c:spPr>
        </c:majorGridlines>
        <c:numFmt formatCode="[$-419]mm\ yyyy;@" sourceLinked="0"/>
        <c:majorTickMark val="none"/>
        <c:minorTickMark val="none"/>
        <c:tickLblPos val="nextTo"/>
        <c:crossAx val="173665280"/>
        <c:crosses val="autoZero"/>
        <c:auto val="1"/>
        <c:lblOffset val="100"/>
        <c:baseTimeUnit val="months"/>
        <c:majorUnit val="4"/>
        <c:majorTimeUnit val="months"/>
      </c:dateAx>
      <c:valAx>
        <c:axId val="173665280"/>
        <c:scaling>
          <c:orientation val="minMax"/>
          <c:min val="1.0000000000000004E-2"/>
        </c:scaling>
        <c:delete val="0"/>
        <c:axPos val="l"/>
        <c:majorGridlines>
          <c:spPr>
            <a:ln>
              <a:solidFill>
                <a:schemeClr val="accent1">
                  <a:lumMod val="20000"/>
                  <a:lumOff val="80000"/>
                </a:schemeClr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crossAx val="173663360"/>
        <c:crosses val="autoZero"/>
        <c:crossBetween val="between"/>
        <c:majorUnit val="1.0000000000000004E-2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663961729554444"/>
          <c:y val="5.3058636487643369E-2"/>
          <c:w val="0.77226965895318156"/>
          <c:h val="0.7121286183313108"/>
        </c:manualLayout>
      </c:layout>
      <c:lineChart>
        <c:grouping val="standard"/>
        <c:varyColors val="0"/>
        <c:ser>
          <c:idx val="0"/>
          <c:order val="0"/>
          <c:tx>
            <c:v>ТОП 10</c:v>
          </c:tx>
          <c:marker>
            <c:symbol val="circle"/>
            <c:size val="3"/>
            <c:spPr>
              <a:solidFill>
                <a:srgbClr val="0070C0"/>
              </a:solidFill>
            </c:spPr>
          </c:marker>
          <c:cat>
            <c:numRef>
              <c:f>ПЗ!$AG$10:$AG$16</c:f>
              <c:numCache>
                <c:formatCode>m/d/yyyy</c:formatCode>
                <c:ptCount val="7"/>
                <c:pt idx="0">
                  <c:v>41639</c:v>
                </c:pt>
                <c:pt idx="1">
                  <c:v>41729</c:v>
                </c:pt>
                <c:pt idx="2">
                  <c:v>41820</c:v>
                </c:pt>
                <c:pt idx="3">
                  <c:v>41912</c:v>
                </c:pt>
                <c:pt idx="4">
                  <c:v>42004</c:v>
                </c:pt>
                <c:pt idx="5">
                  <c:v>42094</c:v>
                </c:pt>
                <c:pt idx="6">
                  <c:v>42185</c:v>
                </c:pt>
              </c:numCache>
            </c:numRef>
          </c:cat>
          <c:val>
            <c:numRef>
              <c:f>ПЗ!$AH$10:$AH$16</c:f>
              <c:numCache>
                <c:formatCode>General</c:formatCode>
                <c:ptCount val="7"/>
                <c:pt idx="0">
                  <c:v>4.0241359968549058E-2</c:v>
                </c:pt>
                <c:pt idx="1">
                  <c:v>4.1371894499102606E-2</c:v>
                </c:pt>
                <c:pt idx="2">
                  <c:v>4.3093949204460462E-2</c:v>
                </c:pt>
                <c:pt idx="3">
                  <c:v>4.2489608576296967E-2</c:v>
                </c:pt>
                <c:pt idx="4">
                  <c:v>4.2231727874549381E-2</c:v>
                </c:pt>
                <c:pt idx="5">
                  <c:v>4.7845583253728771E-2</c:v>
                </c:pt>
                <c:pt idx="6">
                  <c:v>5.5094969374187425E-2</c:v>
                </c:pt>
              </c:numCache>
            </c:numRef>
          </c:val>
          <c:smooth val="1"/>
        </c:ser>
        <c:ser>
          <c:idx val="1"/>
          <c:order val="1"/>
          <c:tx>
            <c:v>ТОП 9 (без учета СБербанка)</c:v>
          </c:tx>
          <c:spPr>
            <a:ln>
              <a:solidFill>
                <a:srgbClr val="00B0F0"/>
              </a:solidFill>
            </a:ln>
          </c:spPr>
          <c:marker>
            <c:symbol val="circle"/>
            <c:size val="3"/>
            <c:spPr>
              <a:solidFill>
                <a:srgbClr val="00B0F0"/>
              </a:solidFill>
              <a:ln>
                <a:solidFill>
                  <a:srgbClr val="00B0F0"/>
                </a:solidFill>
              </a:ln>
            </c:spPr>
          </c:marker>
          <c:cat>
            <c:numRef>
              <c:f>ПЗ!$AG$10:$AG$16</c:f>
              <c:numCache>
                <c:formatCode>m/d/yyyy</c:formatCode>
                <c:ptCount val="7"/>
                <c:pt idx="0">
                  <c:v>41639</c:v>
                </c:pt>
                <c:pt idx="1">
                  <c:v>41729</c:v>
                </c:pt>
                <c:pt idx="2">
                  <c:v>41820</c:v>
                </c:pt>
                <c:pt idx="3">
                  <c:v>41912</c:v>
                </c:pt>
                <c:pt idx="4">
                  <c:v>42004</c:v>
                </c:pt>
                <c:pt idx="5">
                  <c:v>42094</c:v>
                </c:pt>
                <c:pt idx="6">
                  <c:v>42185</c:v>
                </c:pt>
              </c:numCache>
            </c:numRef>
          </c:cat>
          <c:val>
            <c:numRef>
              <c:f>ПЗ!$AI$10:$AI$16</c:f>
              <c:numCache>
                <c:formatCode>General</c:formatCode>
                <c:ptCount val="7"/>
                <c:pt idx="0">
                  <c:v>5.7322510105207537E-2</c:v>
                </c:pt>
                <c:pt idx="1">
                  <c:v>5.8527163680502765E-2</c:v>
                </c:pt>
                <c:pt idx="2">
                  <c:v>6.2174867257627872E-2</c:v>
                </c:pt>
                <c:pt idx="3">
                  <c:v>6.1345887082901063E-2</c:v>
                </c:pt>
                <c:pt idx="4">
                  <c:v>6.4159180963072049E-2</c:v>
                </c:pt>
                <c:pt idx="5">
                  <c:v>7.0067552693537954E-2</c:v>
                </c:pt>
                <c:pt idx="6">
                  <c:v>7.88412290220835E-2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5397120"/>
        <c:axId val="155403392"/>
      </c:lineChart>
      <c:dateAx>
        <c:axId val="155397120"/>
        <c:scaling>
          <c:orientation val="minMax"/>
        </c:scaling>
        <c:delete val="0"/>
        <c:axPos val="b"/>
        <c:majorGridlines>
          <c:spPr>
            <a:ln>
              <a:solidFill>
                <a:schemeClr val="accent1">
                  <a:lumMod val="20000"/>
                  <a:lumOff val="80000"/>
                </a:schemeClr>
              </a:solidFill>
            </a:ln>
          </c:spPr>
        </c:majorGridlines>
        <c:numFmt formatCode="[$-419]mm\ yyyy;@" sourceLinked="0"/>
        <c:majorTickMark val="none"/>
        <c:minorTickMark val="none"/>
        <c:tickLblPos val="nextTo"/>
        <c:crossAx val="155403392"/>
        <c:crosses val="autoZero"/>
        <c:auto val="1"/>
        <c:lblOffset val="100"/>
        <c:baseTimeUnit val="months"/>
        <c:majorUnit val="4"/>
        <c:majorTimeUnit val="months"/>
      </c:dateAx>
      <c:valAx>
        <c:axId val="155403392"/>
        <c:scaling>
          <c:orientation val="minMax"/>
          <c:max val="8.0000000000000029E-2"/>
          <c:min val="3.0000000000000009E-2"/>
        </c:scaling>
        <c:delete val="0"/>
        <c:axPos val="l"/>
        <c:majorGridlines>
          <c:spPr>
            <a:ln>
              <a:solidFill>
                <a:schemeClr val="accent1">
                  <a:lumMod val="20000"/>
                  <a:lumOff val="80000"/>
                </a:schemeClr>
              </a:solidFill>
            </a:ln>
          </c:spPr>
        </c:majorGridlines>
        <c:numFmt formatCode="#,##0.00" sourceLinked="0"/>
        <c:majorTickMark val="none"/>
        <c:minorTickMark val="none"/>
        <c:tickLblPos val="nextTo"/>
        <c:crossAx val="155397120"/>
        <c:crosses val="autoZero"/>
        <c:crossBetween val="midCat"/>
        <c:majorUnit val="1.0000000000000004E-2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v>ТОП 10</c:v>
          </c:tx>
          <c:spPr>
            <a:ln>
              <a:solidFill>
                <a:srgbClr val="0070C0"/>
              </a:solidFill>
            </a:ln>
          </c:spPr>
          <c:marker>
            <c:symbol val="circle"/>
            <c:size val="3"/>
            <c:spPr>
              <a:solidFill>
                <a:srgbClr val="0070C0"/>
              </a:solidFill>
            </c:spPr>
          </c:marker>
          <c:cat>
            <c:numRef>
              <c:f>ПЗ!$A$32:$A$38</c:f>
              <c:numCache>
                <c:formatCode>m/d/yyyy</c:formatCode>
                <c:ptCount val="7"/>
                <c:pt idx="0">
                  <c:v>39447</c:v>
                </c:pt>
                <c:pt idx="1">
                  <c:v>39538</c:v>
                </c:pt>
                <c:pt idx="2">
                  <c:v>39629</c:v>
                </c:pt>
                <c:pt idx="3">
                  <c:v>39721</c:v>
                </c:pt>
                <c:pt idx="4">
                  <c:v>39813</c:v>
                </c:pt>
                <c:pt idx="5">
                  <c:v>39903</c:v>
                </c:pt>
                <c:pt idx="6">
                  <c:v>39994</c:v>
                </c:pt>
              </c:numCache>
            </c:numRef>
          </c:cat>
          <c:val>
            <c:numRef>
              <c:f>ПЗ!$Y$32:$Y$38</c:f>
              <c:numCache>
                <c:formatCode>General</c:formatCode>
                <c:ptCount val="7"/>
                <c:pt idx="0">
                  <c:v>0.32034804458920707</c:v>
                </c:pt>
                <c:pt idx="1">
                  <c:v>0.33972323593014764</c:v>
                </c:pt>
                <c:pt idx="2">
                  <c:v>0.35238071807309324</c:v>
                </c:pt>
                <c:pt idx="3">
                  <c:v>0.38992200790706</c:v>
                </c:pt>
                <c:pt idx="4">
                  <c:v>0.41935234803850979</c:v>
                </c:pt>
                <c:pt idx="5">
                  <c:v>0.47343819278389881</c:v>
                </c:pt>
                <c:pt idx="6">
                  <c:v>0.54883703615657076</c:v>
                </c:pt>
              </c:numCache>
            </c:numRef>
          </c:val>
          <c:smooth val="1"/>
        </c:ser>
        <c:ser>
          <c:idx val="1"/>
          <c:order val="1"/>
          <c:tx>
            <c:v>ТОП 9 (без учета Сбербанка)</c:v>
          </c:tx>
          <c:spPr>
            <a:ln>
              <a:solidFill>
                <a:srgbClr val="00B0F0"/>
              </a:solidFill>
            </a:ln>
          </c:spPr>
          <c:marker>
            <c:symbol val="circle"/>
            <c:size val="3"/>
            <c:spPr>
              <a:solidFill>
                <a:srgbClr val="00B0F0"/>
              </a:solidFill>
              <a:ln>
                <a:solidFill>
                  <a:srgbClr val="00B0F0"/>
                </a:solidFill>
              </a:ln>
            </c:spPr>
          </c:marker>
          <c:val>
            <c:numRef>
              <c:f>ПЗ!$AC$32:$AC$38</c:f>
              <c:numCache>
                <c:formatCode>General</c:formatCode>
                <c:ptCount val="7"/>
                <c:pt idx="0">
                  <c:v>0.30730924386114006</c:v>
                </c:pt>
                <c:pt idx="1">
                  <c:v>0.33972156750990545</c:v>
                </c:pt>
                <c:pt idx="2">
                  <c:v>0.35001103229826869</c:v>
                </c:pt>
                <c:pt idx="3">
                  <c:v>0.41948623256140311</c:v>
                </c:pt>
                <c:pt idx="4">
                  <c:v>0.46384569527719199</c:v>
                </c:pt>
                <c:pt idx="5">
                  <c:v>0.55706896792204841</c:v>
                </c:pt>
                <c:pt idx="6">
                  <c:v>0.75559563533710972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5423872"/>
        <c:axId val="155425792"/>
      </c:lineChart>
      <c:dateAx>
        <c:axId val="155423872"/>
        <c:scaling>
          <c:orientation val="minMax"/>
          <c:max val="39994"/>
          <c:min val="39447"/>
        </c:scaling>
        <c:delete val="0"/>
        <c:axPos val="b"/>
        <c:majorGridlines>
          <c:spPr>
            <a:ln>
              <a:solidFill>
                <a:schemeClr val="accent1">
                  <a:lumMod val="20000"/>
                  <a:lumOff val="80000"/>
                </a:schemeClr>
              </a:solidFill>
            </a:ln>
          </c:spPr>
        </c:majorGridlines>
        <c:numFmt formatCode="[$-419]mm\ yyyy;@" sourceLinked="0"/>
        <c:majorTickMark val="none"/>
        <c:minorTickMark val="none"/>
        <c:tickLblPos val="nextTo"/>
        <c:crossAx val="155425792"/>
        <c:crosses val="autoZero"/>
        <c:auto val="1"/>
        <c:lblOffset val="100"/>
        <c:baseTimeUnit val="months"/>
        <c:majorUnit val="4"/>
        <c:majorTimeUnit val="months"/>
      </c:dateAx>
      <c:valAx>
        <c:axId val="155425792"/>
        <c:scaling>
          <c:orientation val="minMax"/>
          <c:min val="0.3000000000000001"/>
        </c:scaling>
        <c:delete val="0"/>
        <c:axPos val="l"/>
        <c:majorGridlines>
          <c:spPr>
            <a:ln>
              <a:solidFill>
                <a:schemeClr val="accent1">
                  <a:lumMod val="20000"/>
                  <a:lumOff val="80000"/>
                </a:schemeClr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crossAx val="155423872"/>
        <c:crosses val="autoZero"/>
        <c:crossBetween val="between"/>
        <c:majorUnit val="0.1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v>ТОП 10</c:v>
          </c:tx>
          <c:spPr>
            <a:ln>
              <a:solidFill>
                <a:srgbClr val="0070C0"/>
              </a:solidFill>
            </a:ln>
          </c:spPr>
          <c:marker>
            <c:symbol val="circle"/>
            <c:size val="3"/>
          </c:marker>
          <c:cat>
            <c:numRef>
              <c:f>ПЗ!$AG$32:$AG$38</c:f>
              <c:numCache>
                <c:formatCode>m/d/yyyy</c:formatCode>
                <c:ptCount val="7"/>
                <c:pt idx="0">
                  <c:v>41639</c:v>
                </c:pt>
                <c:pt idx="1">
                  <c:v>41729</c:v>
                </c:pt>
                <c:pt idx="2">
                  <c:v>41820</c:v>
                </c:pt>
                <c:pt idx="3">
                  <c:v>41912</c:v>
                </c:pt>
                <c:pt idx="4">
                  <c:v>42004</c:v>
                </c:pt>
                <c:pt idx="5">
                  <c:v>42094</c:v>
                </c:pt>
                <c:pt idx="6">
                  <c:v>42185</c:v>
                </c:pt>
              </c:numCache>
            </c:numRef>
          </c:cat>
          <c:val>
            <c:numRef>
              <c:f>ПЗ!$AH$32:$AH$38</c:f>
              <c:numCache>
                <c:formatCode>General</c:formatCode>
                <c:ptCount val="7"/>
                <c:pt idx="0">
                  <c:v>0.59067385148180773</c:v>
                </c:pt>
                <c:pt idx="1">
                  <c:v>0.59307697547846983</c:v>
                </c:pt>
                <c:pt idx="2">
                  <c:v>0.6085689398337083</c:v>
                </c:pt>
                <c:pt idx="3">
                  <c:v>0.61164086335989787</c:v>
                </c:pt>
                <c:pt idx="4">
                  <c:v>0.60476324124997927</c:v>
                </c:pt>
                <c:pt idx="5">
                  <c:v>0.64141472082240292</c:v>
                </c:pt>
                <c:pt idx="6">
                  <c:v>0.66982545528347281</c:v>
                </c:pt>
              </c:numCache>
            </c:numRef>
          </c:val>
          <c:smooth val="1"/>
        </c:ser>
        <c:ser>
          <c:idx val="1"/>
          <c:order val="1"/>
          <c:tx>
            <c:v>ТОП 9 (без учета Сбербанка)</c:v>
          </c:tx>
          <c:spPr>
            <a:ln>
              <a:solidFill>
                <a:srgbClr val="00B0F0"/>
              </a:solidFill>
            </a:ln>
          </c:spPr>
          <c:marker>
            <c:symbol val="circle"/>
            <c:size val="3"/>
            <c:spPr>
              <a:solidFill>
                <a:srgbClr val="00B0F0"/>
              </a:solidFill>
              <a:ln>
                <a:solidFill>
                  <a:srgbClr val="00B0F0"/>
                </a:solidFill>
              </a:ln>
            </c:spPr>
          </c:marker>
          <c:cat>
            <c:numRef>
              <c:f>ПЗ!$AG$32:$AG$38</c:f>
              <c:numCache>
                <c:formatCode>m/d/yyyy</c:formatCode>
                <c:ptCount val="7"/>
                <c:pt idx="0">
                  <c:v>41639</c:v>
                </c:pt>
                <c:pt idx="1">
                  <c:v>41729</c:v>
                </c:pt>
                <c:pt idx="2">
                  <c:v>41820</c:v>
                </c:pt>
                <c:pt idx="3">
                  <c:v>41912</c:v>
                </c:pt>
                <c:pt idx="4">
                  <c:v>42004</c:v>
                </c:pt>
                <c:pt idx="5">
                  <c:v>42094</c:v>
                </c:pt>
                <c:pt idx="6">
                  <c:v>42185</c:v>
                </c:pt>
              </c:numCache>
            </c:numRef>
          </c:cat>
          <c:val>
            <c:numRef>
              <c:f>ПЗ!$AI$32:$AI$38</c:f>
              <c:numCache>
                <c:formatCode>General</c:formatCode>
                <c:ptCount val="7"/>
                <c:pt idx="0">
                  <c:v>0.69931122995338379</c:v>
                </c:pt>
                <c:pt idx="1">
                  <c:v>0.6910928292120877</c:v>
                </c:pt>
                <c:pt idx="2">
                  <c:v>0.72736202308094855</c:v>
                </c:pt>
                <c:pt idx="3">
                  <c:v>0.73266004108546268</c:v>
                </c:pt>
                <c:pt idx="4">
                  <c:v>0.75618082343071802</c:v>
                </c:pt>
                <c:pt idx="5">
                  <c:v>0.77720378631326925</c:v>
                </c:pt>
                <c:pt idx="6">
                  <c:v>0.80332832950697253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0382208"/>
        <c:axId val="140383744"/>
      </c:lineChart>
      <c:dateAx>
        <c:axId val="140382208"/>
        <c:scaling>
          <c:orientation val="minMax"/>
          <c:max val="42185"/>
          <c:min val="41639"/>
        </c:scaling>
        <c:delete val="0"/>
        <c:axPos val="b"/>
        <c:majorGridlines>
          <c:spPr>
            <a:ln>
              <a:solidFill>
                <a:schemeClr val="accent1">
                  <a:lumMod val="20000"/>
                  <a:lumOff val="80000"/>
                </a:schemeClr>
              </a:solidFill>
            </a:ln>
          </c:spPr>
        </c:majorGridlines>
        <c:numFmt formatCode="[$-419]mm\ yyyy;@" sourceLinked="0"/>
        <c:majorTickMark val="none"/>
        <c:minorTickMark val="none"/>
        <c:tickLblPos val="nextTo"/>
        <c:crossAx val="140383744"/>
        <c:crosses val="autoZero"/>
        <c:auto val="1"/>
        <c:lblOffset val="100"/>
        <c:baseTimeUnit val="months"/>
        <c:majorUnit val="4"/>
        <c:majorTimeUnit val="months"/>
      </c:dateAx>
      <c:valAx>
        <c:axId val="140383744"/>
        <c:scaling>
          <c:orientation val="minMax"/>
          <c:min val="0.55000000000000004"/>
        </c:scaling>
        <c:delete val="0"/>
        <c:axPos val="l"/>
        <c:majorGridlines>
          <c:spPr>
            <a:ln>
              <a:solidFill>
                <a:schemeClr val="accent1">
                  <a:lumMod val="20000"/>
                  <a:lumOff val="80000"/>
                </a:schemeClr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crossAx val="14038220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65111-E860-42E4-A485-41E7AC86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3434</Words>
  <Characters>19577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KroLevik</dc:creator>
  <cp:lastModifiedBy>Комаров Алексей Константинович</cp:lastModifiedBy>
  <cp:revision>2</cp:revision>
  <dcterms:created xsi:type="dcterms:W3CDTF">2015-09-02T08:26:00Z</dcterms:created>
  <dcterms:modified xsi:type="dcterms:W3CDTF">2015-09-02T08:26:00Z</dcterms:modified>
</cp:coreProperties>
</file>