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76" w:rsidRPr="00FA6410" w:rsidRDefault="00495680" w:rsidP="00FA6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FA6410">
        <w:rPr>
          <w:rFonts w:ascii="Times New Roman" w:hAnsi="Times New Roman" w:cs="Times New Roman"/>
          <w:b/>
          <w:sz w:val="32"/>
        </w:rPr>
        <w:t xml:space="preserve">К вопросам </w:t>
      </w:r>
      <w:r w:rsidR="00B66BA6" w:rsidRPr="00FA6410">
        <w:rPr>
          <w:rFonts w:ascii="Times New Roman" w:hAnsi="Times New Roman" w:cs="Times New Roman"/>
          <w:b/>
          <w:sz w:val="32"/>
        </w:rPr>
        <w:t>реформировани</w:t>
      </w:r>
      <w:r w:rsidRPr="00FA6410">
        <w:rPr>
          <w:rFonts w:ascii="Times New Roman" w:hAnsi="Times New Roman" w:cs="Times New Roman"/>
          <w:b/>
          <w:sz w:val="32"/>
        </w:rPr>
        <w:t xml:space="preserve">я </w:t>
      </w:r>
      <w:r w:rsidR="00B66BA6" w:rsidRPr="00FA6410">
        <w:rPr>
          <w:rFonts w:ascii="Times New Roman" w:hAnsi="Times New Roman" w:cs="Times New Roman"/>
          <w:b/>
          <w:sz w:val="32"/>
        </w:rPr>
        <w:t>пенсионной системы</w:t>
      </w:r>
    </w:p>
    <w:p w:rsidR="00FA6410" w:rsidRDefault="00FA6410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A6410" w:rsidRDefault="00FA6410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A6410" w:rsidRDefault="00FA6410" w:rsidP="00FA641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844891" cy="1428750"/>
            <wp:effectExtent l="0" t="0" r="0" b="0"/>
            <wp:docPr id="1" name="Рисунок 1" descr="C:\Users\AKomarov\AppData\Local\Microsoft\Windows\Temporary Internet Files\Content.Word\Андрей Верхола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AppData\Local\Microsoft\Windows\Temporary Internet Files\Content.Word\Андрей Верхоланце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91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10" w:rsidRPr="00FA6410" w:rsidRDefault="00FA6410" w:rsidP="00FA641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FA6410">
        <w:rPr>
          <w:rFonts w:ascii="Times New Roman" w:hAnsi="Times New Roman" w:cs="Times New Roman"/>
          <w:i/>
          <w:sz w:val="24"/>
        </w:rPr>
        <w:t xml:space="preserve">Андрей </w:t>
      </w:r>
      <w:proofErr w:type="spellStart"/>
      <w:r w:rsidRPr="00FA6410">
        <w:rPr>
          <w:rFonts w:ascii="Times New Roman" w:hAnsi="Times New Roman" w:cs="Times New Roman"/>
          <w:i/>
          <w:sz w:val="24"/>
        </w:rPr>
        <w:t>Верхоланцев</w:t>
      </w:r>
      <w:proofErr w:type="spellEnd"/>
      <w:r w:rsidRPr="00FA6410">
        <w:rPr>
          <w:rFonts w:ascii="Times New Roman" w:hAnsi="Times New Roman" w:cs="Times New Roman"/>
          <w:i/>
          <w:sz w:val="24"/>
        </w:rPr>
        <w:t>,</w:t>
      </w:r>
    </w:p>
    <w:p w:rsidR="00FA6410" w:rsidRPr="00FA6410" w:rsidRDefault="00FA6410" w:rsidP="00FA641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FA6410">
        <w:rPr>
          <w:rFonts w:ascii="Times New Roman" w:hAnsi="Times New Roman" w:cs="Times New Roman"/>
          <w:i/>
          <w:sz w:val="24"/>
        </w:rPr>
        <w:t>Главный аналитик УК «</w:t>
      </w:r>
      <w:proofErr w:type="spellStart"/>
      <w:r w:rsidRPr="00FA6410">
        <w:rPr>
          <w:rFonts w:ascii="Times New Roman" w:hAnsi="Times New Roman" w:cs="Times New Roman"/>
          <w:i/>
          <w:sz w:val="24"/>
        </w:rPr>
        <w:t>Ронин</w:t>
      </w:r>
      <w:proofErr w:type="spellEnd"/>
      <w:r w:rsidRPr="00FA6410">
        <w:rPr>
          <w:rFonts w:ascii="Times New Roman" w:hAnsi="Times New Roman" w:cs="Times New Roman"/>
          <w:i/>
          <w:sz w:val="24"/>
        </w:rPr>
        <w:t xml:space="preserve"> Траст»</w:t>
      </w:r>
    </w:p>
    <w:p w:rsidR="00FA6410" w:rsidRPr="00FA6410" w:rsidRDefault="00FA6410" w:rsidP="00FA6410">
      <w:pPr>
        <w:spacing w:after="0" w:line="360" w:lineRule="auto"/>
        <w:ind w:firstLine="709"/>
        <w:jc w:val="both"/>
      </w:pPr>
    </w:p>
    <w:p w:rsidR="00B634A8" w:rsidRPr="002F5272" w:rsidRDefault="0056515C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2F5272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C</w:t>
      </w:r>
      <w:proofErr w:type="spellStart"/>
      <w:r w:rsidR="006C129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табильность</w:t>
      </w:r>
      <w:proofErr w:type="spellEnd"/>
      <w:r w:rsidR="009C21C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C129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пенсионной системы, </w:t>
      </w:r>
      <w:r w:rsidR="009C21C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понятность 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неизменность ее правил </w:t>
      </w:r>
      <w:r w:rsidR="006C129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на горизонте, измеряемом десятилетиями</w:t>
      </w:r>
      <w:r w:rsidR="009C21C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C129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6C129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еотложны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6C129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условия для формирования эффективно работающего механизма, 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помогающего</w:t>
      </w:r>
      <w:r w:rsidR="006C129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развиваться как экономике, так и 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обществу в целом.</w:t>
      </w:r>
      <w:proofErr w:type="gramEnd"/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C588E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6C129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нашей стране процесс реформирования пенсионной системы с разной степенью интенсивности идет </w:t>
      </w:r>
      <w:r w:rsidR="00AC588E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почти непрерывно </w:t>
      </w:r>
      <w:r w:rsidR="006C129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 начала 2000-х годов.</w:t>
      </w:r>
      <w:r w:rsidR="00235BB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C21C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Новой вехой 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этом пути </w:t>
      </w:r>
      <w:r w:rsidR="009C21C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стало</w:t>
      </w:r>
      <w:r w:rsidR="00622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C21C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«замораживание» отчислений в накопительную часть, практикуемое правительством с 2014 года</w:t>
      </w:r>
      <w:r w:rsidR="0049481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</w:t>
      </w:r>
      <w:r w:rsidR="00B634A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каждый 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год</w:t>
      </w:r>
      <w:r w:rsidR="00B634A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подаваемое как </w:t>
      </w:r>
      <w:r w:rsidR="009C21C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временно</w:t>
      </w:r>
      <w:r w:rsidR="00B634A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9C21C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634A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явление</w:t>
      </w:r>
      <w:r w:rsidR="009C21C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7F2E6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Несмотря на 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крайне спорный </w:t>
      </w:r>
      <w:r w:rsidR="007F2E6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характер такого решения, </w:t>
      </w:r>
      <w:r w:rsidR="00D01B1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не ведущего к решению бюджетных проблем</w:t>
      </w:r>
      <w:r w:rsidR="007F2E6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 оставим его в стороне. Поскольку те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инициативы, </w:t>
      </w:r>
      <w:r w:rsidR="007F2E6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которые стали звучать с 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весн</w:t>
      </w:r>
      <w:r w:rsidR="007F2E6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текущего года </w:t>
      </w:r>
      <w:r w:rsidR="00AC588E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из уст представителей Минфина и ЦБ 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235BB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б отмене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обязательного накопительного компонента </w:t>
      </w:r>
      <w:r w:rsidR="00235BB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35BB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переход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235BB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</w:t>
      </w:r>
      <w:r w:rsidR="0049481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принцип</w:t>
      </w:r>
      <w:r w:rsidR="00235BB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49481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добровольн</w:t>
      </w:r>
      <w:r w:rsidR="0049481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ого участия в формировании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8609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пенсионных 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накоплений</w:t>
      </w:r>
      <w:r w:rsidR="0008609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гу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 стать </w:t>
      </w:r>
      <w:r w:rsidR="007F2E6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действительно 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большой ошибкой, </w:t>
      </w:r>
      <w:r w:rsidR="0049481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грозящей нанести значительный </w:t>
      </w:r>
      <w:r w:rsidR="007F2E6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урон экономике, 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исправление которой </w:t>
      </w:r>
      <w:r w:rsidR="007F2E6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дальнейшем </w:t>
      </w:r>
      <w:r w:rsidR="00235BB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потребует</w:t>
      </w:r>
      <w:r w:rsidR="00315CA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много сил и средств.</w:t>
      </w:r>
    </w:p>
    <w:p w:rsidR="00DF084C" w:rsidRPr="002F5272" w:rsidRDefault="00882258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Возникает</w:t>
      </w:r>
      <w:r w:rsidR="00D01B1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вопрос, насколько авторы этой идеи 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Правительстве и Центральном банке </w:t>
      </w:r>
      <w:r w:rsidR="00D01B1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осознают возможные негативные последствия</w:t>
      </w:r>
      <w:r w:rsidR="0082200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е</w:t>
      </w:r>
      <w:r w:rsidR="005A63B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 воплощения в жизнь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как оценивают </w:t>
      </w:r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шансы на успех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? Со своей стороны могу</w:t>
      </w:r>
      <w:r w:rsidR="00D01B1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привести лишь ряд иллюстраций.</w:t>
      </w:r>
      <w:r w:rsidR="0082200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Прежде всего, 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нужно понимать, что в условиях продолжающегося уже 20 (!) месяцев подряд </w:t>
      </w:r>
      <w:r w:rsidR="00820A4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(по июнь 2016 г.) 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снижения </w:t>
      </w:r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уровня 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реального располагаемого доход</w:t>
      </w:r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73070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53B8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многим </w:t>
      </w:r>
      <w:r w:rsidR="0073070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людям будет </w:t>
      </w:r>
      <w:r w:rsidR="00353B8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крайне трудно 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найти «лишние» деньги</w:t>
      </w:r>
      <w:r w:rsidR="0052652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чтобы отложить их на будущую </w:t>
      </w:r>
      <w:r w:rsidR="0052652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пенсию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Текущее состояние экономики </w:t>
      </w:r>
      <w:r w:rsidR="00DA3CE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 </w:t>
      </w:r>
      <w:r w:rsidR="00044C0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показывает</w:t>
      </w:r>
      <w:r w:rsidR="00DA3CE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достаточного количества признаков, по которым можно было бы </w:t>
      </w:r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сделать вывод о с</w:t>
      </w:r>
      <w:r w:rsidR="001959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кором развороте этой тенденции. Зн</w:t>
      </w:r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ачит, доходы населения с большой </w:t>
      </w:r>
      <w:r w:rsidR="00044C0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долей </w:t>
      </w:r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вероятност</w:t>
      </w:r>
      <w:r w:rsidR="00044C0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продолжат </w:t>
      </w:r>
      <w:proofErr w:type="spellStart"/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стагнировать</w:t>
      </w:r>
      <w:proofErr w:type="spellEnd"/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 даже те, чье финансовое состояние позволяет такие отчисления производить, могут задаться резонным вопросом, не изменятся ли в очередной раз правила игры и не </w:t>
      </w:r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приведет ли их изменение к </w:t>
      </w:r>
      <w:r w:rsidR="006B4C9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обесценению </w:t>
      </w:r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(заморозке, </w:t>
      </w:r>
      <w:r w:rsidR="006B4C9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исчезновению </w:t>
      </w:r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 т.п.)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F084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сделанных накоплений</w:t>
      </w:r>
      <w:r w:rsidR="00C611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FF090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Ярким примером из опыта</w:t>
      </w:r>
      <w:r w:rsidR="00353B8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62424E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демонстрирующим</w:t>
      </w:r>
      <w:r w:rsidR="00353B8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ответ на этот вопрос,</w:t>
      </w:r>
      <w:r w:rsidR="00FF090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может служить ситуация, в которой при сворачивании корпоративной программы пенсионного обеспечения</w:t>
      </w:r>
      <w:r w:rsidR="007E79D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959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ходе реорганизации </w:t>
      </w:r>
      <w:r w:rsidR="0052652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одной компании </w:t>
      </w:r>
      <w:r w:rsidR="007E79D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сотрудникам было предложено два варианта – либо продолжить самостоятельно делать взносы либо </w:t>
      </w:r>
      <w:r w:rsidR="001959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получить</w:t>
      </w:r>
      <w:r w:rsidR="007E79D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сделанные</w:t>
      </w:r>
      <w:r w:rsidR="001959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их адрес</w:t>
      </w:r>
      <w:r w:rsidR="007E79D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отчисления. Подавляющее большинство предпочло второй вариант по принципу синицы в руках. </w:t>
      </w:r>
      <w:r w:rsidR="00C51C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К сожалению, государство своими бесконечными изменениями, порой носящими противоречивый характер, само способствовало росту скептицизма на этот счет.</w:t>
      </w:r>
    </w:p>
    <w:p w:rsidR="00CB3E6C" w:rsidRPr="002F5272" w:rsidRDefault="00556224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4929C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этих условиях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введение принципа добровольного формирования </w:t>
      </w:r>
      <w:r w:rsidR="0023565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пенсионных накоплений 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может обернуться тем, что их </w:t>
      </w:r>
      <w:r w:rsidR="002D7CA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 временем 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попросту не </w:t>
      </w:r>
      <w:r w:rsidR="000250FE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станет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т.к. для этого </w:t>
      </w:r>
      <w:r w:rsidR="002D7CA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 людей </w:t>
      </w:r>
      <w:r w:rsidR="000250FE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не</w:t>
      </w:r>
      <w:r w:rsidR="007A6B7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будет хватать 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или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св</w:t>
      </w:r>
      <w:r w:rsidR="0047064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ободных денег, 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или</w:t>
      </w:r>
      <w:r w:rsidR="0047064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250FE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уверенности в</w:t>
      </w:r>
      <w:r w:rsidR="0047064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успех</w:t>
      </w:r>
      <w:r w:rsidR="000250FE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47064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D7CA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="0047064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столь длинно</w:t>
      </w:r>
      <w:r w:rsidR="002D7CA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 </w:t>
      </w:r>
      <w:r w:rsidR="00430B4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отрезке</w:t>
      </w:r>
      <w:r w:rsidR="002D7CA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времени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. Экономика лишится значительно источника внутренн</w:t>
      </w:r>
      <w:r w:rsidR="004929C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их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инвестиционн</w:t>
      </w:r>
      <w:r w:rsidR="004929C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ых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ресурс</w:t>
      </w:r>
      <w:r w:rsidR="004929C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ов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 важность</w:t>
      </w:r>
      <w:r w:rsidR="004929C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наличия которого крайне высока и </w:t>
      </w:r>
      <w:r w:rsidR="00B4098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неоднократно подчеркивалась различными представителями экономического блока </w:t>
      </w:r>
      <w:r w:rsidR="00E0132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правительства</w:t>
      </w:r>
      <w:r w:rsidR="004929C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8F399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Тем более</w:t>
      </w:r>
      <w:proofErr w:type="gramStart"/>
      <w:r w:rsidR="008F399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proofErr w:type="gramEnd"/>
      <w:r w:rsidR="008F399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что о</w:t>
      </w:r>
      <w:r w:rsidR="00316B8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соб</w:t>
      </w:r>
      <w:r w:rsidR="004929C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ую</w:t>
      </w:r>
      <w:r w:rsidR="00316B8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актуальн</w:t>
      </w:r>
      <w:r w:rsidR="004929C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ость</w:t>
      </w:r>
      <w:r w:rsidR="00316B8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D7CA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этот источник</w:t>
      </w:r>
      <w:r w:rsidR="004929C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приобрел </w:t>
      </w:r>
      <w:r w:rsidR="00316B8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64428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последние год</w:t>
      </w:r>
      <w:r w:rsidR="00C65DCE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="0064428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когда доступ на </w:t>
      </w:r>
      <w:r w:rsidR="00316B8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внешний рынок</w:t>
      </w:r>
      <w:r w:rsidR="00684C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капитала</w:t>
      </w:r>
      <w:r w:rsidR="0064428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оказался практически закрыт</w:t>
      </w:r>
      <w:r w:rsidR="00316B8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23565A" w:rsidRPr="002F5272" w:rsidRDefault="00A1032A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Не лишним будет отметить, что б</w:t>
      </w:r>
      <w:r w:rsidR="0023565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лагодаря пенсионны</w:t>
      </w:r>
      <w:r w:rsidR="0088225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23565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накоплени</w:t>
      </w:r>
      <w:r w:rsidR="0088225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ям</w:t>
      </w:r>
      <w:r w:rsidR="00316B8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экономика получает возможность </w:t>
      </w:r>
      <w:r w:rsidR="00B4098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реализации проектов </w:t>
      </w:r>
      <w:r w:rsidR="00FC24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 д</w:t>
      </w:r>
      <w:r w:rsidR="0088225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альни</w:t>
      </w:r>
      <w:r w:rsidR="00FC24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м инвестиционным горизонтом</w:t>
      </w:r>
      <w:r w:rsidR="0023565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 прежде всего в сфере инфраструктуры</w:t>
      </w:r>
      <w:r w:rsidR="0032579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CE761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Причем </w:t>
      </w:r>
      <w:r w:rsidR="0023565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эти</w:t>
      </w:r>
      <w:r w:rsidR="00CE761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проекты далеко не всегда могут быть профинансированы банками в силу ряда разного рода причин. 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38289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читывая хронические проблемы с достаточностью капитала в банковской системе</w:t>
      </w:r>
      <w:r w:rsidR="006B6D8E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38289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</w:t>
      </w:r>
      <w:r w:rsidR="00CB3E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38289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3565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их м</w:t>
      </w:r>
      <w:r w:rsidR="006B6D8E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асштабном участии в </w:t>
      </w:r>
      <w:r w:rsidR="0023565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таких</w:t>
      </w:r>
      <w:r w:rsidR="0038289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проект</w:t>
      </w:r>
      <w:r w:rsidR="006B6D8E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ах</w:t>
      </w:r>
      <w:r w:rsidR="0038289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обозримом будущем </w:t>
      </w:r>
      <w:r w:rsidR="0038289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можно забыть. 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Вместе с тем</w:t>
      </w:r>
      <w:r w:rsidR="00AE5DB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их</w:t>
      </w:r>
      <w:r w:rsidR="00CE761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реализация </w:t>
      </w:r>
      <w:r w:rsidR="00684C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выгодн</w:t>
      </w:r>
      <w:r w:rsidR="007070A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684C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как инвестору в лице фонда, </w:t>
      </w:r>
      <w:r w:rsidR="0032579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заинтересованному</w:t>
      </w:r>
      <w:r w:rsidR="00684C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инструментах с долгим сроком генерации денежного потока, так и </w:t>
      </w:r>
      <w:r w:rsidR="0032579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самой </w:t>
      </w:r>
      <w:r w:rsidR="00684C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экономике, </w:t>
      </w:r>
      <w:r w:rsidR="00684C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получающей </w:t>
      </w:r>
      <w:r w:rsidR="00CE761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результате </w:t>
      </w:r>
      <w:r w:rsidR="00316B8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дополнительны</w:t>
      </w:r>
      <w:r w:rsidR="00684C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й драйвер</w:t>
      </w:r>
      <w:r w:rsidR="00316B8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роста</w:t>
      </w:r>
      <w:r w:rsidR="0023565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возможности для дальнейшего развития</w:t>
      </w:r>
      <w:r w:rsidR="00316B8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0F017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C7295" w:rsidRPr="002F5272" w:rsidRDefault="0023565A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Сформированные ранее пенсионные накопления уже игра</w:t>
      </w:r>
      <w:r w:rsidR="00A1032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ю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 заметную роль</w:t>
      </w:r>
      <w:r w:rsidR="0081331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экономической жизни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став источником приобретения </w:t>
      </w:r>
      <w:r w:rsidR="0081331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долговых ценных бумаг</w:t>
      </w:r>
      <w:r w:rsidR="00B35E8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C24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процессе </w:t>
      </w:r>
      <w:r w:rsidR="00B35E8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их </w:t>
      </w:r>
      <w:r w:rsidR="007239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первичн</w:t>
      </w:r>
      <w:r w:rsidR="00E0132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ых</w:t>
      </w:r>
      <w:r w:rsidR="007239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27D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размещени</w:t>
      </w:r>
      <w:r w:rsidR="00E0132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FC24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Таким </w:t>
      </w:r>
      <w:r w:rsidR="00E0132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образом,</w:t>
      </w:r>
      <w:r w:rsidR="00FC24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</w:t>
      </w:r>
      <w:r w:rsidR="007239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практике воплоща</w:t>
      </w:r>
      <w:r w:rsidR="0055206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ет</w:t>
      </w:r>
      <w:r w:rsidR="00FC24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55206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7239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иде</w:t>
      </w:r>
      <w:r w:rsidR="00FC24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A427D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трансформации накоплений в корпоративные инвестиции </w:t>
      </w:r>
      <w:r w:rsidR="005051B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A427D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реально</w:t>
      </w:r>
      <w:r w:rsidR="005051B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A427D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сектор</w:t>
      </w:r>
      <w:r w:rsidR="005051B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A427D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экономики. </w:t>
      </w:r>
      <w:r w:rsidR="00FC24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 слову, </w:t>
      </w:r>
      <w:r w:rsidR="004B0D1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2015 году </w:t>
      </w:r>
      <w:r w:rsidR="00FC24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F7381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орядка </w:t>
      </w:r>
      <w:r w:rsidR="00211D0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36</w:t>
      </w:r>
      <w:r w:rsidR="00F7381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 или почти </w:t>
      </w:r>
      <w:r w:rsidR="00211D0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61</w:t>
      </w:r>
      <w:r w:rsidR="00F7381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0 </w:t>
      </w:r>
      <w:proofErr w:type="gramStart"/>
      <w:r w:rsidR="00F7381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млрд</w:t>
      </w:r>
      <w:proofErr w:type="gramEnd"/>
      <w:r w:rsidR="00F7381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рублей пенсионных накоплений в активах НПФ были инвестированы в корпоративные облигации.</w:t>
      </w:r>
      <w:r w:rsidR="008E048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Доля таких вложений у </w:t>
      </w:r>
      <w:proofErr w:type="spellStart"/>
      <w:r w:rsidR="008E048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ВЭБа</w:t>
      </w:r>
      <w:proofErr w:type="spellEnd"/>
      <w:r w:rsidR="008E048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 2015 год составила 35% или 702 млрд. рублей.</w:t>
      </w:r>
      <w:r w:rsidR="002F02C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D29E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Лишать экономику этих средств</w:t>
      </w:r>
      <w:r w:rsidR="008F399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BC18A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на наш взгляд</w:t>
      </w:r>
      <w:r w:rsidR="008F399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недопустимо. </w:t>
      </w:r>
      <w:r w:rsidR="003C717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Это обернется дефицитом финансовых ресурсов для бизнеса и </w:t>
      </w:r>
      <w:r w:rsidR="00A1032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как итог – </w:t>
      </w:r>
      <w:r w:rsidR="003C717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снижением экономического потенциала</w:t>
      </w:r>
      <w:r w:rsidR="00BB69C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страны</w:t>
      </w:r>
      <w:r w:rsidR="003C717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FC242B" w:rsidRPr="002F5272" w:rsidRDefault="005C7295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этом те </w:t>
      </w:r>
      <w:r w:rsidR="007D280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35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0 </w:t>
      </w:r>
      <w:proofErr w:type="gramStart"/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млрд</w:t>
      </w:r>
      <w:proofErr w:type="gramEnd"/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рублей в год, </w:t>
      </w:r>
      <w:r w:rsidR="0081331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предназначенные для 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перечисл</w:t>
      </w:r>
      <w:r w:rsidR="0081331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ения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</w:t>
      </w:r>
      <w:r w:rsidR="00F81F0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накопительную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часть </w:t>
      </w:r>
      <w:r w:rsidR="0081331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 находящиеся сейчас в «замороженном» состоянии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 не решают проблем</w:t>
      </w:r>
      <w:r w:rsidR="0081331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бюджета</w:t>
      </w:r>
      <w:r w:rsidR="003E43D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но ведут к значительному накоплению </w:t>
      </w:r>
      <w:r w:rsidR="00665F1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бюджетных </w:t>
      </w:r>
      <w:r w:rsidR="003E43D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рисков в перспективе</w:t>
      </w:r>
      <w:r w:rsidR="0081331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. В частности, они не сильно сокращают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дефицит пенсионного фонда, размер которого </w:t>
      </w:r>
      <w:r w:rsidR="00F81F0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превышает 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один</w:t>
      </w:r>
      <w:r w:rsidR="007D280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81F0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трлн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F81F0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рублей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3832B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Напротив, с учетом прогнозируемого ухудшения демографической ситуации, а именно соотношения работающего населения и людей пенсионного возраста, реализация солидарного принципа (когда работающие платят за пенсионеров) в б</w:t>
      </w:r>
      <w:r w:rsidR="00AD531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удущем станет еще более сложной </w:t>
      </w:r>
      <w:r w:rsidR="000C532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для бюджета </w:t>
      </w:r>
      <w:r w:rsidR="00AD531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задачей</w:t>
      </w:r>
      <w:r w:rsidR="003832B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D46C0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Стабилизировать ситуаци</w:t>
      </w:r>
      <w:r w:rsidR="000B71F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ю</w:t>
      </w:r>
      <w:r w:rsidR="00D46C0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может только </w:t>
      </w:r>
      <w:r w:rsidR="003832B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накопительная составляющая пенсионной системы</w:t>
      </w:r>
      <w:r w:rsidR="000B71F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6D0E9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что обусловливает необходимость ее </w:t>
      </w:r>
      <w:r w:rsidR="000B71F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сохран</w:t>
      </w:r>
      <w:r w:rsidR="006D0E9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ения и дальнейшего </w:t>
      </w:r>
      <w:r w:rsidR="000B71F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разви</w:t>
      </w:r>
      <w:r w:rsidR="006D0E9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тия</w:t>
      </w:r>
      <w:r w:rsidR="000B71F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D531F" w:rsidRPr="002F5272" w:rsidRDefault="004630C7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 вернемся к реформированию пенсионного рынка, </w:t>
      </w:r>
      <w:r w:rsidR="00BC1FB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начатого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регулятором </w:t>
      </w:r>
      <w:r w:rsidR="001959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лице Банка России </w:t>
      </w:r>
      <w:r w:rsidR="00290C3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почти </w:t>
      </w:r>
      <w:r w:rsidR="001959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три 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года</w:t>
      </w:r>
      <w:r w:rsidR="00AC15B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назад</w:t>
      </w:r>
      <w:r w:rsidR="00BC1FB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За истекшее время можно подвести некоторые итоги и отметить </w:t>
      </w:r>
      <w:r w:rsidR="008E17A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те</w:t>
      </w:r>
      <w:r w:rsidR="00BC1FB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44C0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моменты</w:t>
      </w:r>
      <w:r w:rsidR="00BC1FB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8E17A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которые</w:t>
      </w:r>
      <w:r w:rsidR="0081331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 на наш взгляд,</w:t>
      </w:r>
      <w:r w:rsidR="008E17A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C1FB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нуждаю</w:t>
      </w:r>
      <w:r w:rsidR="008E17A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</w:t>
      </w:r>
      <w:r w:rsidR="00BC1FB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ся в </w:t>
      </w:r>
      <w:r w:rsidR="00E2608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корректировке</w:t>
      </w:r>
      <w:r w:rsidR="00BC1FB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Безусловно, наиболее заметным изменением </w:t>
      </w:r>
      <w:r w:rsidR="00F7635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 знаком плюс </w:t>
      </w:r>
      <w:r w:rsidR="00BC1FB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стало создание системы гарантирования пенсионных накоплений, имеющей цель</w:t>
      </w:r>
      <w:r w:rsidR="00AF0DF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ю</w:t>
      </w:r>
      <w:r w:rsidR="00BC1FB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повышени</w:t>
      </w:r>
      <w:r w:rsidR="008E17A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BC1FB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надежности участников пенсионного рынка и защиты прав застрахованных, т.е. будущих пенсионеров. 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Для вступления в систему</w:t>
      </w:r>
      <w:r w:rsidR="0059210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B2C1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фонды</w:t>
      </w:r>
      <w:r w:rsidR="0059210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прошли через процедуру акционирования</w:t>
      </w:r>
      <w:r w:rsidR="0002605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 что</w:t>
      </w:r>
      <w:r w:rsidR="00F20A7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бы отвечать требованиям</w:t>
      </w:r>
      <w:r w:rsidR="0002605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20A7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</w:t>
      </w:r>
      <w:r w:rsidR="0002605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прозрачности структуры собственности</w:t>
      </w:r>
      <w:r w:rsidR="0059210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В конце июня текущего года Банк России допустил в </w:t>
      </w:r>
      <w:r w:rsidR="00BC1FB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нее</w:t>
      </w:r>
      <w:r w:rsidR="00F20A7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9210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последнего </w:t>
      </w:r>
      <w:r w:rsidR="0059210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представителя – НПФ «Образование», ставшего 46-м по счету из бывших некогда 89 игроков рынка. Этим фондам были перечислены средства </w:t>
      </w:r>
      <w:r w:rsidR="00C06EE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пенсионных накоплений за четвертый квартал 2013 года и по итогам переходных кампаний 2014-2015 гг., всего около 860 </w:t>
      </w:r>
      <w:proofErr w:type="gramStart"/>
      <w:r w:rsidR="00C06EE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млрд</w:t>
      </w:r>
      <w:proofErr w:type="gramEnd"/>
      <w:r w:rsidR="00C06EE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рублей. В итоге общий </w:t>
      </w:r>
      <w:r w:rsidR="0059210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объем активов этих фондов </w:t>
      </w:r>
      <w:r w:rsidR="00C06EE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достиг 2,03 </w:t>
      </w:r>
      <w:proofErr w:type="gramStart"/>
      <w:r w:rsidR="00C06EE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трлн</w:t>
      </w:r>
      <w:proofErr w:type="gramEnd"/>
      <w:r w:rsidR="00C06EE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рублей, </w:t>
      </w:r>
      <w:r w:rsidR="0002605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впервые </w:t>
      </w:r>
      <w:r w:rsidR="00C06EE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превысив </w:t>
      </w:r>
      <w:r w:rsidR="0002605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размер </w:t>
      </w:r>
      <w:r w:rsidR="00C06EE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накоплени</w:t>
      </w:r>
      <w:r w:rsidR="0002605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C06EE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</w:t>
      </w:r>
      <w:proofErr w:type="spellStart"/>
      <w:r w:rsidR="00C06EE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ВЭБе</w:t>
      </w:r>
      <w:proofErr w:type="spellEnd"/>
      <w:r w:rsidR="00C06EE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211D0D" w:rsidRPr="002F5272" w:rsidRDefault="00477D76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Положительной оценки</w:t>
      </w:r>
      <w:r w:rsidR="00D17F0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17F0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нашему мнению, 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заслуживают р</w:t>
      </w:r>
      <w:r w:rsidR="00211D0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азработанные регулятором </w:t>
      </w:r>
      <w:r w:rsidR="00FE1E6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новые требования к договорам доверительного управления пенсионными накоплениями. В отличие от действующих в настоящее время, они </w:t>
      </w:r>
      <w:r w:rsidR="00211D0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носят </w:t>
      </w:r>
      <w:r w:rsidR="00FE1E6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менее формальны</w:t>
      </w:r>
      <w:r w:rsidR="00211D0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й характер и </w:t>
      </w:r>
      <w:r w:rsidR="00FE1E6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не уст</w:t>
      </w:r>
      <w:r w:rsidR="00211D0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анавливают жестких ограничений, что дает возможность </w:t>
      </w:r>
      <w:r w:rsidR="00AF0DF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управляющим компаниям (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УК</w:t>
      </w:r>
      <w:r w:rsidR="00AF0DF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211D0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самим определять критерии упра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вления пенсионными накоплениями</w:t>
      </w:r>
      <w:r w:rsidR="003C18B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рамках нормативных ограничений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достигая большей гибкости при заключении договора с НПФ. В частности, </w:t>
      </w:r>
      <w:r w:rsidR="00E55AE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к числу таких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возможност</w:t>
      </w:r>
      <w:r w:rsidR="00E55AE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55AE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относится 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более подробно</w:t>
      </w:r>
      <w:r w:rsidR="00E55AE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B69C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описани</w:t>
      </w:r>
      <w:r w:rsidR="00E55AE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инвестиционны</w:t>
      </w:r>
      <w:r w:rsidR="00BB69C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цел</w:t>
      </w:r>
      <w:r w:rsidR="00BB69C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 допустим</w:t>
      </w:r>
      <w:r w:rsidR="00BB69C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ого уровня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риска, порядк</w:t>
      </w:r>
      <w:r w:rsidR="00BB69C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расчета вознаграждения, </w:t>
      </w:r>
      <w:r w:rsidR="00AB74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если он отличается </w:t>
      </w:r>
      <w:proofErr w:type="gramStart"/>
      <w:r w:rsidR="00AB74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от</w:t>
      </w:r>
      <w:proofErr w:type="gramEnd"/>
      <w:r w:rsidR="00AB74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стандартного, </w:t>
      </w:r>
      <w:r w:rsidR="00E55AE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что позволяет 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не вынос</w:t>
      </w:r>
      <w:r w:rsidR="00E55AE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ить</w:t>
      </w:r>
      <w:r w:rsidR="00DB47A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эти моменты в отдельные дополнительные соглашения.</w:t>
      </w:r>
      <w:r w:rsidR="00D921C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Однако главное, чего пока 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так </w:t>
      </w:r>
      <w:r w:rsidR="00D921C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 не удалось реализовать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рыночной практике</w:t>
      </w:r>
      <w:r w:rsidR="00D921C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это добиться перехода </w:t>
      </w:r>
      <w:r w:rsidR="00FC013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на пяти</w:t>
      </w:r>
      <w:r w:rsidR="00D921C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летн</w:t>
      </w:r>
      <w:r w:rsidR="00FC013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ий срок действия типового договора</w:t>
      </w:r>
      <w:r w:rsidR="00D921C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="00BB69C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чем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много говорилось</w:t>
      </w:r>
      <w:r w:rsidR="00D921C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начале процесса реформирования.</w:t>
      </w:r>
    </w:p>
    <w:p w:rsidR="00C03A85" w:rsidRPr="002F5272" w:rsidRDefault="00FC013D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Пятилетний срок действия договора </w:t>
      </w:r>
      <w:r w:rsidR="00C03A8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вполне вписывается в концепцию формирования длинных инвестиционных ресурсов. 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таким </w:t>
      </w:r>
      <w:r w:rsidR="00C03A8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горизонт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ом планирования управляющие компании </w:t>
      </w:r>
      <w:r w:rsidR="00C03A8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могли бы предлагать и реализовывать </w:t>
      </w:r>
      <w:r w:rsidR="00AC15B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различные </w:t>
      </w:r>
      <w:r w:rsidR="00C03A8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инвестиционные стратегии</w:t>
      </w:r>
      <w:r w:rsidR="00D02E9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более широким использованием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к примеру, </w:t>
      </w:r>
      <w:r w:rsidR="00D02E9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акций</w:t>
      </w:r>
      <w:r w:rsidR="00C03A8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не опасаясь </w:t>
      </w:r>
      <w:r w:rsidR="00D02E9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этом </w:t>
      </w:r>
      <w:r w:rsidR="00C03A8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отклонения </w:t>
      </w:r>
      <w:r w:rsidR="003D246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результата в конце года</w:t>
      </w:r>
      <w:r w:rsidR="00C03A8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AC15B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259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действительности </w:t>
      </w:r>
      <w:r w:rsidR="00AC15B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же фонд</w:t>
      </w:r>
      <w:r w:rsidR="00C259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="00AC15B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259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продолжают предъявлять требования не только 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 </w:t>
      </w:r>
      <w:r w:rsidR="00C259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сохранности переданных средств</w:t>
      </w:r>
      <w:r w:rsidR="00895F4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(о чем 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895F4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чуть подробнее останов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люсь</w:t>
      </w:r>
      <w:r w:rsidR="00895F4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ниже)</w:t>
      </w:r>
      <w:r w:rsidR="00C259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 но и дохода</w:t>
      </w:r>
      <w:r w:rsidR="00FB7A2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D246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именно </w:t>
      </w:r>
      <w:r w:rsidR="00FB7A2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конце каждого </w:t>
      </w:r>
      <w:r w:rsidR="00CF157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календарного </w:t>
      </w:r>
      <w:r w:rsidR="00FB7A2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года</w:t>
      </w:r>
      <w:r w:rsidR="00C259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 нивелирует тезис о длинных </w:t>
      </w:r>
      <w:r w:rsidR="00135C0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деньгах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FB7A2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Это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2E9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вынуждает поддерживать </w:t>
      </w:r>
      <w:r w:rsidR="00135C0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относительно </w:t>
      </w:r>
      <w:r w:rsidR="00D02E9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высокую долю </w:t>
      </w:r>
      <w:r w:rsidR="0000240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портфеля 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 ликвидных активах, доходность которых по определению ниже</w:t>
      </w:r>
      <w:r w:rsidR="00D02E9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Как результат, </w:t>
      </w:r>
      <w:r w:rsidR="002A798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уменьшается потенциальная доходность инвестирования средств будущих пенсионеров, а 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эконо</w:t>
      </w:r>
      <w:r w:rsidR="002A798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мика недополучает длинных денег</w:t>
      </w:r>
      <w:r w:rsidR="0062556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для решения имеющихся задач</w:t>
      </w:r>
      <w:r w:rsidR="00552DF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785338" w:rsidRPr="002F5272" w:rsidRDefault="009B5476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Останавливаясь</w:t>
      </w:r>
      <w:r w:rsidR="002E02A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общих принципах, </w:t>
      </w:r>
      <w:r w:rsidR="00E0499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лежа</w:t>
      </w:r>
      <w:r w:rsidR="00290C3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щих </w:t>
      </w:r>
      <w:r w:rsidR="00E0499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основе </w:t>
      </w:r>
      <w:r w:rsidR="002E02A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действи</w:t>
      </w:r>
      <w:r w:rsidR="00E0499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й регулятора при </w:t>
      </w:r>
      <w:r w:rsidR="002E02A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реформировани</w:t>
      </w:r>
      <w:r w:rsidR="00E0499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2E02A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пенсионного рын</w:t>
      </w:r>
      <w:r w:rsidR="003935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ка, 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можно</w:t>
      </w:r>
      <w:r w:rsidR="003935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отметить </w:t>
      </w:r>
      <w:r w:rsidR="00CB3E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тренд на </w:t>
      </w:r>
      <w:r w:rsidR="00E0499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усложнение правил игры. Нормативная база, регулирующая инвестиционный процесс, например, в части требований к составу активов, допускаемых к покупке на средства пенсионных накоплений, становится </w:t>
      </w:r>
      <w:r w:rsidR="007D4CF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все </w:t>
      </w:r>
      <w:r w:rsidR="00E0499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более обширной и </w:t>
      </w:r>
      <w:r w:rsidR="003935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сложно</w:t>
      </w:r>
      <w:r w:rsidR="004373E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E0499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Совокупность редакций, вносимых в </w:t>
      </w:r>
      <w:r w:rsidR="0008325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федеральны</w:t>
      </w:r>
      <w:r w:rsidR="00E0499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08325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законы, </w:t>
      </w:r>
      <w:r w:rsidR="00E0499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выходящие подзаконные акты </w:t>
      </w:r>
      <w:r w:rsidR="0008325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 инструкции, по</w:t>
      </w:r>
      <w:r w:rsidR="00E0499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ложения и приказы Банка России </w:t>
      </w:r>
      <w:r w:rsidR="00265D5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порой</w:t>
      </w:r>
      <w:r w:rsidR="00E0499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 повышают ясность, а наоборот, порождают вопросы</w:t>
      </w:r>
      <w:r w:rsidR="003A2A1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 том, что можно покупать, а что нельзя</w:t>
      </w:r>
      <w:r w:rsidR="00E0499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78533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Можно отметить и </w:t>
      </w:r>
      <w:r w:rsidR="00F730A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чрезмерное </w:t>
      </w:r>
      <w:r w:rsidR="0078533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повышение </w:t>
      </w:r>
      <w:r w:rsidR="00D60E1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требовани</w:t>
      </w:r>
      <w:r w:rsidR="0078533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D60E1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 кредитному качеству объектов инвестирования (рейтинг не должен быть ниже двух ступеней от национального рейтинга для субординированных облигаци</w:t>
      </w:r>
      <w:r w:rsidR="0078533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й и не ниже трех – для прочих), а таких инструментов не так уж и много. </w:t>
      </w:r>
      <w:proofErr w:type="gramStart"/>
      <w:r w:rsidR="00265D5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 итоге, только</w:t>
      </w:r>
      <w:r w:rsidR="007D4CF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для определения того, что можно покупать в состав пенсионных накоплений, требуется глубокое знание закона, нормативных указаний ЦБ</w:t>
      </w:r>
      <w:r w:rsidR="003A3E8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РФ</w:t>
      </w:r>
      <w:r w:rsidR="007D4CF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076CD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действующей</w:t>
      </w:r>
      <w:r w:rsidR="007D4CF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редакции требований Совета директоров Банка России, рейтингов</w:t>
      </w:r>
      <w:r w:rsidR="003A3E8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ой</w:t>
      </w:r>
      <w:r w:rsidR="007D4CF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оценк</w:t>
      </w:r>
      <w:r w:rsidR="003A3E8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7D4CF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эмитента либо </w:t>
      </w:r>
      <w:r w:rsidR="003A3E8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его </w:t>
      </w:r>
      <w:r w:rsidR="007D4CF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поручителей, </w:t>
      </w:r>
      <w:r w:rsidR="00F730A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присутствия </w:t>
      </w:r>
      <w:r w:rsidR="00265D5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эмитента </w:t>
      </w:r>
      <w:r w:rsidR="007D4CF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 групп</w:t>
      </w:r>
      <w:r w:rsidR="00F730A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F7125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связанных компаний</w:t>
      </w:r>
      <w:r w:rsidR="007D4CF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 лимитной ведомости НПФ и УК, а также положений конкретного инвестиционного договора</w:t>
      </w:r>
      <w:r w:rsidR="00265D5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с фондом</w:t>
      </w:r>
      <w:r w:rsidR="007D4CF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  <w:r w:rsidR="007D4CF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Нарушение любого из </w:t>
      </w:r>
      <w:r w:rsidR="00265D5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перечня </w:t>
      </w:r>
      <w:r w:rsidR="007D4CF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требований неизбежно ведет к предписанию ЦБ и чревато применением санкций со стороны регулятора.</w:t>
      </w:r>
    </w:p>
    <w:p w:rsidR="001B2B70" w:rsidRPr="002F5272" w:rsidRDefault="00785338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Безусловно, это </w:t>
      </w:r>
      <w:r w:rsidR="001A45B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объясняется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заботой о сохранности средств, повышенными требованиями к </w:t>
      </w:r>
      <w:proofErr w:type="gramStart"/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риск-менеджменту</w:t>
      </w:r>
      <w:proofErr w:type="gramEnd"/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CC50A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Но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практике</w:t>
      </w:r>
      <w:r w:rsidR="001B2B7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 чтобы не допустить нарушений и не навлечь взыскания, фонды зачастую просят УК согласовывать с ними мельчайшие детали сделок, вплоть до конкретных облигационных выпусков одного эмитента. В результате вырождается сама идея доверительного управления, а управляющая компания формально превращается в брокера, исполняющей сделки по поручению. Это также сопровождается размыванием ответственности за конечный результат.</w:t>
      </w:r>
    </w:p>
    <w:p w:rsidR="00B14166" w:rsidRPr="002F5272" w:rsidRDefault="00634BC0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Складывается впечатление</w:t>
      </w:r>
      <w:r w:rsidR="00430FA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 </w:t>
      </w:r>
      <w:r w:rsidR="00CB3E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смысл регулирующих действий направлен на то, чтобы разрешить фондам самостоятельн</w:t>
      </w:r>
      <w:r w:rsidR="00430FA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проводить </w:t>
      </w:r>
      <w:r w:rsidR="00CB3E6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операции на фондовом рынке, минуя управляющую компанию. </w:t>
      </w:r>
      <w:r w:rsidR="00430FA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Нужно ли говорить, что количество УК после этого может резко сократиться, но приведет ли это к</w:t>
      </w:r>
      <w:r w:rsidR="00A701F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повышению доходности от управления</w:t>
      </w:r>
      <w:r w:rsidR="00430FA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?</w:t>
      </w:r>
      <w:r w:rsidR="00A701F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Ответ неочевиден. Опять же вспоминается </w:t>
      </w:r>
      <w:r w:rsidR="00B1416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опыт </w:t>
      </w:r>
      <w:r w:rsidR="004418D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из </w:t>
      </w:r>
      <w:r w:rsidR="00B1416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недавнего прошлого, когда НПФ </w:t>
      </w:r>
      <w:r w:rsidR="00B1416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получили право самостоятельно инвестировать средства пенсионных резервов. Это кончилось тем, что львиная доля средств была направлена в депозиты, что обеспокоило регулятора и привело к установлению ограничения на вложения в банковские группы на уровне не более 40%. </w:t>
      </w:r>
      <w:r w:rsidR="0079569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То есть </w:t>
      </w:r>
      <w:r w:rsidR="009067D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результате регулятивного ужесточения </w:t>
      </w:r>
      <w:r w:rsidR="0079569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деньги были аккумулированы в банковском секторе, </w:t>
      </w:r>
      <w:r w:rsidR="004418D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 </w:t>
      </w:r>
      <w:r w:rsidR="009067D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до</w:t>
      </w:r>
      <w:r w:rsidR="004418D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реальн</w:t>
      </w:r>
      <w:r w:rsidR="009067D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ого</w:t>
      </w:r>
      <w:r w:rsidR="004418D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сектор</w:t>
      </w:r>
      <w:r w:rsidR="009067D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4418D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экономики</w:t>
      </w:r>
      <w:r w:rsidR="009067D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они не дошли</w:t>
      </w:r>
      <w:r w:rsidR="0079569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2136D2" w:rsidRPr="002F5272" w:rsidRDefault="00EE6F63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Отдельно следует остановиться на </w:t>
      </w:r>
      <w:r w:rsidR="00360E4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возможн</w:t>
      </w:r>
      <w:r w:rsidR="0091661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360E4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 </w:t>
      </w:r>
      <w:r w:rsidR="00D00BA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законодательном </w:t>
      </w:r>
      <w:r w:rsidR="0091661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закреплении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E706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уровня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минимальной гарантированной доходности для средств пенсионных накоплений. </w:t>
      </w:r>
      <w:r w:rsidR="0029220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Какими бы ни были основания, но д</w:t>
      </w:r>
      <w:r w:rsidR="0091675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анная идея</w:t>
      </w:r>
      <w:r w:rsidR="0029220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A058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противоречит </w:t>
      </w:r>
      <w:r w:rsidR="00573B0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как </w:t>
      </w:r>
      <w:r w:rsidR="0034673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сути </w:t>
      </w:r>
      <w:r w:rsidR="00573B0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инвестирования в целом, так и </w:t>
      </w:r>
      <w:r w:rsidR="007B364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характеру </w:t>
      </w:r>
      <w:r w:rsidR="001A058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работы на рынке ценных бумаг</w:t>
      </w:r>
      <w:r w:rsidR="0034673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частности</w:t>
      </w:r>
      <w:r w:rsidR="004418D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неотъемлемой частью которой является принятие </w:t>
      </w:r>
      <w:r w:rsidR="001F313E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определенного набора</w:t>
      </w:r>
      <w:r w:rsidR="001A058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рисков</w:t>
      </w:r>
      <w:r w:rsidR="00FA0D4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9A38A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Здесь у</w:t>
      </w:r>
      <w:r w:rsidR="00D00BA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местно вспомнить</w:t>
      </w:r>
      <w:r w:rsidR="00FA0D4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 что до 2007 года Закон «О рынке ценных бумаг» содержал прямой запрет на указание предполагаемого размера доход</w:t>
      </w:r>
      <w:r w:rsidR="009A38A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FA0D4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ценным бумагам</w:t>
      </w:r>
      <w:r w:rsidR="001D7E6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6D2C1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Хотя</w:t>
      </w:r>
      <w:r w:rsidR="001D7E6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данное требование </w:t>
      </w:r>
      <w:r w:rsidR="00D00BA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применительно к рекламе </w:t>
      </w:r>
      <w:r w:rsidR="001D7E6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из </w:t>
      </w:r>
      <w:r w:rsidR="0004082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r w:rsidR="001D7E6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акона было исключено, </w:t>
      </w:r>
      <w:r w:rsidR="002136D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этого </w:t>
      </w:r>
      <w:r w:rsidR="001A058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специфика работы</w:t>
      </w:r>
      <w:r w:rsidR="00A13A0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фондовом рынке не поменялась. </w:t>
      </w:r>
      <w:r w:rsidR="006C278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Инвестор по-прежнему берет на себя риск</w:t>
      </w:r>
      <w:r w:rsidR="004573F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в том числе </w:t>
      </w:r>
      <w:proofErr w:type="spellStart"/>
      <w:r w:rsidR="004573F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нехеджируемый</w:t>
      </w:r>
      <w:proofErr w:type="spellEnd"/>
      <w:r w:rsidR="004573F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(рыночный)</w:t>
      </w:r>
      <w:r w:rsidR="006C278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ради возможн</w:t>
      </w:r>
      <w:r w:rsidR="00D00BA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ости получить повышенный доход, а конъюнктура </w:t>
      </w:r>
      <w:r w:rsidR="004573F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рынка </w:t>
      </w:r>
      <w:r w:rsidR="00D00BA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порой меняется очень стремительно. </w:t>
      </w:r>
      <w:r w:rsidR="0087510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Красноречивее всего это</w:t>
      </w:r>
      <w:r w:rsidR="004573F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</w:t>
      </w:r>
      <w:r w:rsidR="0087510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тезис </w:t>
      </w:r>
      <w:r w:rsidR="004573F9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иллюстрируется</w:t>
      </w:r>
      <w:r w:rsidR="0087510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A38A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ночн</w:t>
      </w:r>
      <w:r w:rsidR="0087510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ым</w:t>
      </w:r>
      <w:r w:rsidR="009A38A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повышение</w:t>
      </w:r>
      <w:r w:rsidR="0087510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9A38A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ключевой процентной ставки ЦБ РФ сразу на 6.5 п.п. в середине декабря 2014 года, «съевш</w:t>
      </w:r>
      <w:r w:rsidR="00EA7C4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им</w:t>
      </w:r>
      <w:r w:rsidR="009A38A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у одной половины УК почти всю полученную </w:t>
      </w:r>
      <w:r w:rsidR="002D1CF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за год</w:t>
      </w:r>
      <w:r w:rsidR="009A38A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прибыль, а у другой </w:t>
      </w:r>
      <w:r w:rsidR="00C427FC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="002D1CF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86E7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сформировавш</w:t>
      </w:r>
      <w:r w:rsidR="00EA7C4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им</w:t>
      </w:r>
      <w:r w:rsidR="009A38A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D1CF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отрицательн</w:t>
      </w:r>
      <w:r w:rsidR="00186E7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ый</w:t>
      </w:r>
      <w:r w:rsidR="002D1CF7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результат</w:t>
      </w:r>
      <w:r w:rsidR="009A38A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963D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730A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Отдавая д</w:t>
      </w:r>
      <w:r w:rsidR="00C219F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олжное регулятору, пошедшему на</w:t>
      </w:r>
      <w:r w:rsidR="00F730A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встреч</w:t>
      </w:r>
      <w:r w:rsidR="0087510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F730A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рын</w:t>
      </w:r>
      <w:r w:rsidR="0087510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ку</w:t>
      </w:r>
      <w:r w:rsidR="00F730A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максимально смягчившему </w:t>
      </w:r>
      <w:r w:rsidR="00F0738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негативные </w:t>
      </w:r>
      <w:r w:rsidR="00F730A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последствия </w:t>
      </w:r>
      <w:r w:rsidR="00F0738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принятого </w:t>
      </w:r>
      <w:r w:rsidR="00F730A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решения</w:t>
      </w:r>
      <w:r w:rsidR="0087510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для игроков</w:t>
      </w:r>
      <w:r w:rsidR="00F730A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тем не менее, </w:t>
      </w:r>
      <w:r w:rsidR="00F0738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произошла</w:t>
      </w:r>
      <w:r w:rsidR="0087510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реализ</w:t>
      </w:r>
      <w:r w:rsidR="00F0738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ация</w:t>
      </w:r>
      <w:r w:rsidR="0087510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рыночн</w:t>
      </w:r>
      <w:r w:rsidR="00F0738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ого</w:t>
      </w:r>
      <w:r w:rsidR="001C2E1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7510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риск</w:t>
      </w:r>
      <w:r w:rsidR="00F0738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87510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5570C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возложение</w:t>
      </w:r>
      <w:r w:rsidR="001C2F4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ответственност</w:t>
      </w:r>
      <w:r w:rsidR="005570C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1C2F4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7510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который только </w:t>
      </w:r>
      <w:r w:rsidR="001C2F4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на управляющ</w:t>
      </w:r>
      <w:r w:rsidR="00186E7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ую компанию</w:t>
      </w:r>
      <w:r w:rsidR="001C2F4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по меньшей мере, странно, </w:t>
      </w:r>
      <w:r w:rsidR="00AD03B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 говоря уже о </w:t>
      </w:r>
      <w:r w:rsidR="001C2F4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требова</w:t>
      </w:r>
      <w:r w:rsidR="00AD03B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нии по</w:t>
      </w:r>
      <w:r w:rsidR="001C2F4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компенсации убытк</w:t>
      </w:r>
      <w:r w:rsidR="001910E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1C2F4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D02E96" w:rsidRPr="002F5272" w:rsidRDefault="000A7823" w:rsidP="00FA64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Главное</w:t>
      </w:r>
      <w:r w:rsidR="0005717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 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хочется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5717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отметить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чтобы идущий процесс реформирования пенсионной системы </w:t>
      </w:r>
      <w:r w:rsidR="001E086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итоге 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отвечал интересам всех </w:t>
      </w:r>
      <w:r w:rsidR="0085667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игроков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Безусловно, </w:t>
      </w:r>
      <w:r w:rsidR="0085667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процесс этот сложный и от того требующий </w:t>
      </w:r>
      <w:r w:rsidR="009D4000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взвешенных решений и </w:t>
      </w:r>
      <w:r w:rsidR="0085667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обсуждения с профессиональным сообществом. Еще раз подчеркн</w:t>
      </w:r>
      <w:r w:rsidR="006C33D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85667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, что л</w:t>
      </w:r>
      <w:r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иквидация накопительного компонента может стать непоправимой ошибкой, лишающей экономику внутреннего источника инвестиционных ресурсов и повышающей ее уязвимость внешним риска</w:t>
      </w:r>
      <w:r w:rsidR="0005717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м, </w:t>
      </w:r>
      <w:r w:rsidR="0005717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особенно на фоне </w:t>
      </w:r>
      <w:r w:rsidR="006F5CE5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действующих </w:t>
      </w:r>
      <w:r w:rsidR="00374BCA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санкций в финансовой сфере</w:t>
      </w:r>
      <w:r w:rsidR="00057171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85667D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Нужно также понимать, что в условиях сокращающихся доходов населения, введение добровольного принципа формирования накопительной пенсии будет равносильно ее отмене. </w:t>
      </w:r>
      <w:r w:rsidR="002A6DB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Только сохранение и</w:t>
      </w:r>
      <w:r w:rsidR="00B7693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планомерное развитие </w:t>
      </w:r>
      <w:r w:rsidR="002A6DB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действующей системы </w:t>
      </w:r>
      <w:r w:rsidR="00B14F0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поможет</w:t>
      </w:r>
      <w:r w:rsidR="00B7693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E5B1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раскрыться внутреннему инвестиционному потенциалу, </w:t>
      </w:r>
      <w:r w:rsidR="00B7693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способствовать формированию эффективного механизма трансформации </w:t>
      </w:r>
      <w:r w:rsidR="00F97104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финансовых ресурсов</w:t>
      </w:r>
      <w:r w:rsidR="00B76933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инвестиции</w:t>
      </w:r>
      <w:r w:rsidR="00B14F0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внутри страны</w:t>
      </w:r>
      <w:r w:rsidR="002D3E62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926F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так, как это работает в </w:t>
      </w:r>
      <w:r w:rsidR="00F0738F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других </w:t>
      </w:r>
      <w:r w:rsidR="001926F8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развитых странах мира</w:t>
      </w:r>
      <w:r w:rsidR="000E5B16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F2493B" w:rsidRPr="002F527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bookmarkEnd w:id="0"/>
    </w:p>
    <w:sectPr w:rsidR="00D02E96" w:rsidRPr="002F5272" w:rsidSect="0056515C">
      <w:footerReference w:type="default" r:id="rId10"/>
      <w:pgSz w:w="11906" w:h="16838"/>
      <w:pgMar w:top="1134" w:right="567" w:bottom="1134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55" w:rsidRDefault="00E65D55" w:rsidP="00FB7748">
      <w:pPr>
        <w:spacing w:after="0" w:line="240" w:lineRule="auto"/>
      </w:pPr>
      <w:r>
        <w:separator/>
      </w:r>
    </w:p>
  </w:endnote>
  <w:endnote w:type="continuationSeparator" w:id="0">
    <w:p w:rsidR="00E65D55" w:rsidRDefault="00E65D55" w:rsidP="00FB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495626"/>
      <w:docPartObj>
        <w:docPartGallery w:val="Page Numbers (Bottom of Page)"/>
        <w:docPartUnique/>
      </w:docPartObj>
    </w:sdtPr>
    <w:sdtEndPr/>
    <w:sdtContent>
      <w:p w:rsidR="00C219F1" w:rsidRDefault="005404D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9F1" w:rsidRDefault="00C219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55" w:rsidRDefault="00E65D55" w:rsidP="00FB7748">
      <w:pPr>
        <w:spacing w:after="0" w:line="240" w:lineRule="auto"/>
      </w:pPr>
      <w:r>
        <w:separator/>
      </w:r>
    </w:p>
  </w:footnote>
  <w:footnote w:type="continuationSeparator" w:id="0">
    <w:p w:rsidR="00E65D55" w:rsidRDefault="00E65D55" w:rsidP="00FB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1425"/>
    <w:multiLevelType w:val="multilevel"/>
    <w:tmpl w:val="FF40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A6"/>
    <w:rsid w:val="00002405"/>
    <w:rsid w:val="00011D38"/>
    <w:rsid w:val="000250FE"/>
    <w:rsid w:val="0002525D"/>
    <w:rsid w:val="0002605F"/>
    <w:rsid w:val="00026E37"/>
    <w:rsid w:val="000368BD"/>
    <w:rsid w:val="0004082B"/>
    <w:rsid w:val="00044C00"/>
    <w:rsid w:val="0004577C"/>
    <w:rsid w:val="00045CC7"/>
    <w:rsid w:val="00057171"/>
    <w:rsid w:val="00067B4D"/>
    <w:rsid w:val="00073777"/>
    <w:rsid w:val="00076CD9"/>
    <w:rsid w:val="0008325C"/>
    <w:rsid w:val="00085E07"/>
    <w:rsid w:val="00086098"/>
    <w:rsid w:val="00094B19"/>
    <w:rsid w:val="000A0EF2"/>
    <w:rsid w:val="000A7823"/>
    <w:rsid w:val="000B71F7"/>
    <w:rsid w:val="000C5327"/>
    <w:rsid w:val="000C7EDF"/>
    <w:rsid w:val="000E5B16"/>
    <w:rsid w:val="000F0176"/>
    <w:rsid w:val="000F0D82"/>
    <w:rsid w:val="000F2B12"/>
    <w:rsid w:val="0010046C"/>
    <w:rsid w:val="00106B3A"/>
    <w:rsid w:val="0011732E"/>
    <w:rsid w:val="001217F6"/>
    <w:rsid w:val="00124429"/>
    <w:rsid w:val="001348A6"/>
    <w:rsid w:val="00135C00"/>
    <w:rsid w:val="00141893"/>
    <w:rsid w:val="0015610E"/>
    <w:rsid w:val="001626A2"/>
    <w:rsid w:val="001667F5"/>
    <w:rsid w:val="00171DF4"/>
    <w:rsid w:val="00175A76"/>
    <w:rsid w:val="0018205B"/>
    <w:rsid w:val="00186E74"/>
    <w:rsid w:val="001910E6"/>
    <w:rsid w:val="001926F8"/>
    <w:rsid w:val="001931A2"/>
    <w:rsid w:val="0019596C"/>
    <w:rsid w:val="001973D3"/>
    <w:rsid w:val="001A0583"/>
    <w:rsid w:val="001A2954"/>
    <w:rsid w:val="001A45B5"/>
    <w:rsid w:val="001B2B70"/>
    <w:rsid w:val="001C2E15"/>
    <w:rsid w:val="001C2F45"/>
    <w:rsid w:val="001D7E61"/>
    <w:rsid w:val="001E0863"/>
    <w:rsid w:val="001E0A88"/>
    <w:rsid w:val="001E5EAA"/>
    <w:rsid w:val="001F313E"/>
    <w:rsid w:val="001F3B7F"/>
    <w:rsid w:val="001F5DF8"/>
    <w:rsid w:val="00202827"/>
    <w:rsid w:val="002115E0"/>
    <w:rsid w:val="00211D0D"/>
    <w:rsid w:val="00212155"/>
    <w:rsid w:val="002136D2"/>
    <w:rsid w:val="002305C9"/>
    <w:rsid w:val="00233F5D"/>
    <w:rsid w:val="0023565A"/>
    <w:rsid w:val="00235BB7"/>
    <w:rsid w:val="00240F29"/>
    <w:rsid w:val="00250EFD"/>
    <w:rsid w:val="00265D5F"/>
    <w:rsid w:val="00271317"/>
    <w:rsid w:val="00271519"/>
    <w:rsid w:val="00290C36"/>
    <w:rsid w:val="00292202"/>
    <w:rsid w:val="002A6DB4"/>
    <w:rsid w:val="002A7980"/>
    <w:rsid w:val="002B4486"/>
    <w:rsid w:val="002D1CF7"/>
    <w:rsid w:val="002D3E62"/>
    <w:rsid w:val="002D7CAD"/>
    <w:rsid w:val="002E02A7"/>
    <w:rsid w:val="002E5564"/>
    <w:rsid w:val="002F02CC"/>
    <w:rsid w:val="002F5272"/>
    <w:rsid w:val="002F54F6"/>
    <w:rsid w:val="00315CA3"/>
    <w:rsid w:val="00316B8D"/>
    <w:rsid w:val="0032579C"/>
    <w:rsid w:val="003314E0"/>
    <w:rsid w:val="00332DBF"/>
    <w:rsid w:val="0034211E"/>
    <w:rsid w:val="00346735"/>
    <w:rsid w:val="003532D7"/>
    <w:rsid w:val="00353B81"/>
    <w:rsid w:val="00360E49"/>
    <w:rsid w:val="00362DE8"/>
    <w:rsid w:val="00374BCA"/>
    <w:rsid w:val="00375C10"/>
    <w:rsid w:val="00382890"/>
    <w:rsid w:val="003832B7"/>
    <w:rsid w:val="003935DD"/>
    <w:rsid w:val="00397849"/>
    <w:rsid w:val="003A2A1B"/>
    <w:rsid w:val="003A3E84"/>
    <w:rsid w:val="003A5660"/>
    <w:rsid w:val="003A5B62"/>
    <w:rsid w:val="003C18B7"/>
    <w:rsid w:val="003C7172"/>
    <w:rsid w:val="003D09E9"/>
    <w:rsid w:val="003D246D"/>
    <w:rsid w:val="003E42DA"/>
    <w:rsid w:val="003E43DC"/>
    <w:rsid w:val="004160E9"/>
    <w:rsid w:val="00430B45"/>
    <w:rsid w:val="00430FAC"/>
    <w:rsid w:val="00432299"/>
    <w:rsid w:val="00433991"/>
    <w:rsid w:val="00435A6D"/>
    <w:rsid w:val="004373E0"/>
    <w:rsid w:val="004418D0"/>
    <w:rsid w:val="004458F1"/>
    <w:rsid w:val="00446AA5"/>
    <w:rsid w:val="004526C8"/>
    <w:rsid w:val="00455096"/>
    <w:rsid w:val="00455E0E"/>
    <w:rsid w:val="004573F9"/>
    <w:rsid w:val="004630C7"/>
    <w:rsid w:val="00470640"/>
    <w:rsid w:val="00477D76"/>
    <w:rsid w:val="004879DB"/>
    <w:rsid w:val="00487D35"/>
    <w:rsid w:val="00490827"/>
    <w:rsid w:val="004929C0"/>
    <w:rsid w:val="00492C3C"/>
    <w:rsid w:val="004940FA"/>
    <w:rsid w:val="00494818"/>
    <w:rsid w:val="00495680"/>
    <w:rsid w:val="004A1421"/>
    <w:rsid w:val="004B0D1A"/>
    <w:rsid w:val="004C3F49"/>
    <w:rsid w:val="004D4867"/>
    <w:rsid w:val="004E4823"/>
    <w:rsid w:val="005051B3"/>
    <w:rsid w:val="00511567"/>
    <w:rsid w:val="00526527"/>
    <w:rsid w:val="00533ADC"/>
    <w:rsid w:val="005352C5"/>
    <w:rsid w:val="005404DD"/>
    <w:rsid w:val="00546A83"/>
    <w:rsid w:val="00552066"/>
    <w:rsid w:val="005527B2"/>
    <w:rsid w:val="00552DF6"/>
    <w:rsid w:val="005532F7"/>
    <w:rsid w:val="00556224"/>
    <w:rsid w:val="005570CB"/>
    <w:rsid w:val="0056515C"/>
    <w:rsid w:val="00570710"/>
    <w:rsid w:val="0057227C"/>
    <w:rsid w:val="00573B0C"/>
    <w:rsid w:val="00592105"/>
    <w:rsid w:val="00592702"/>
    <w:rsid w:val="005A63BF"/>
    <w:rsid w:val="005C04F2"/>
    <w:rsid w:val="005C7295"/>
    <w:rsid w:val="005D72DA"/>
    <w:rsid w:val="00602AA7"/>
    <w:rsid w:val="006050D7"/>
    <w:rsid w:val="006107C3"/>
    <w:rsid w:val="00613741"/>
    <w:rsid w:val="0062284C"/>
    <w:rsid w:val="0062424E"/>
    <w:rsid w:val="00625563"/>
    <w:rsid w:val="00634BC0"/>
    <w:rsid w:val="00644287"/>
    <w:rsid w:val="0064562B"/>
    <w:rsid w:val="00651C3D"/>
    <w:rsid w:val="00657666"/>
    <w:rsid w:val="00665F18"/>
    <w:rsid w:val="00677582"/>
    <w:rsid w:val="00684CDD"/>
    <w:rsid w:val="00694BE4"/>
    <w:rsid w:val="006B4C94"/>
    <w:rsid w:val="006B6D8E"/>
    <w:rsid w:val="006C129C"/>
    <w:rsid w:val="006C2786"/>
    <w:rsid w:val="006C33DD"/>
    <w:rsid w:val="006C5EFE"/>
    <w:rsid w:val="006D0E90"/>
    <w:rsid w:val="006D1B4B"/>
    <w:rsid w:val="006D1BBF"/>
    <w:rsid w:val="006D2C19"/>
    <w:rsid w:val="006D47DF"/>
    <w:rsid w:val="006F20F7"/>
    <w:rsid w:val="006F5CE5"/>
    <w:rsid w:val="00703728"/>
    <w:rsid w:val="007070A4"/>
    <w:rsid w:val="00711FB9"/>
    <w:rsid w:val="00715422"/>
    <w:rsid w:val="00716FC4"/>
    <w:rsid w:val="00717019"/>
    <w:rsid w:val="0072392B"/>
    <w:rsid w:val="00726D37"/>
    <w:rsid w:val="00730704"/>
    <w:rsid w:val="007358E1"/>
    <w:rsid w:val="00744BB4"/>
    <w:rsid w:val="0075509C"/>
    <w:rsid w:val="007640F6"/>
    <w:rsid w:val="007660BB"/>
    <w:rsid w:val="00772413"/>
    <w:rsid w:val="00785338"/>
    <w:rsid w:val="0079569F"/>
    <w:rsid w:val="007A3F21"/>
    <w:rsid w:val="007A6B76"/>
    <w:rsid w:val="007B33C3"/>
    <w:rsid w:val="007B364A"/>
    <w:rsid w:val="007C0418"/>
    <w:rsid w:val="007D280B"/>
    <w:rsid w:val="007D4CFD"/>
    <w:rsid w:val="007E1A78"/>
    <w:rsid w:val="007E79D4"/>
    <w:rsid w:val="007F1DB6"/>
    <w:rsid w:val="007F2E61"/>
    <w:rsid w:val="00805887"/>
    <w:rsid w:val="00813312"/>
    <w:rsid w:val="00820A4B"/>
    <w:rsid w:val="0082200F"/>
    <w:rsid w:val="0082458A"/>
    <w:rsid w:val="0083070C"/>
    <w:rsid w:val="00830DF4"/>
    <w:rsid w:val="008471BA"/>
    <w:rsid w:val="0085667D"/>
    <w:rsid w:val="0086351A"/>
    <w:rsid w:val="00870DE0"/>
    <w:rsid w:val="008750B3"/>
    <w:rsid w:val="00875101"/>
    <w:rsid w:val="00882258"/>
    <w:rsid w:val="00884651"/>
    <w:rsid w:val="00894308"/>
    <w:rsid w:val="00895F49"/>
    <w:rsid w:val="008A29ED"/>
    <w:rsid w:val="008C2FB1"/>
    <w:rsid w:val="008D7534"/>
    <w:rsid w:val="008E0482"/>
    <w:rsid w:val="008E17AD"/>
    <w:rsid w:val="008E3782"/>
    <w:rsid w:val="008F3997"/>
    <w:rsid w:val="009017B8"/>
    <w:rsid w:val="00903C96"/>
    <w:rsid w:val="009067D4"/>
    <w:rsid w:val="00910273"/>
    <w:rsid w:val="00915D51"/>
    <w:rsid w:val="00916617"/>
    <w:rsid w:val="00916750"/>
    <w:rsid w:val="0094233D"/>
    <w:rsid w:val="009623D7"/>
    <w:rsid w:val="00973FCF"/>
    <w:rsid w:val="00975A53"/>
    <w:rsid w:val="009A38AF"/>
    <w:rsid w:val="009B2C18"/>
    <w:rsid w:val="009B5476"/>
    <w:rsid w:val="009C21CA"/>
    <w:rsid w:val="009C4445"/>
    <w:rsid w:val="009C6AF7"/>
    <w:rsid w:val="009D4000"/>
    <w:rsid w:val="009E3DC8"/>
    <w:rsid w:val="009E7066"/>
    <w:rsid w:val="00A1032A"/>
    <w:rsid w:val="00A10E34"/>
    <w:rsid w:val="00A13A08"/>
    <w:rsid w:val="00A165AA"/>
    <w:rsid w:val="00A36CEC"/>
    <w:rsid w:val="00A427DC"/>
    <w:rsid w:val="00A54E0E"/>
    <w:rsid w:val="00A62429"/>
    <w:rsid w:val="00A668B4"/>
    <w:rsid w:val="00A701FC"/>
    <w:rsid w:val="00AA4C80"/>
    <w:rsid w:val="00AA6B9C"/>
    <w:rsid w:val="00AB742B"/>
    <w:rsid w:val="00AC15B2"/>
    <w:rsid w:val="00AC1E1F"/>
    <w:rsid w:val="00AC588E"/>
    <w:rsid w:val="00AD03BF"/>
    <w:rsid w:val="00AD2263"/>
    <w:rsid w:val="00AD531F"/>
    <w:rsid w:val="00AE5DB7"/>
    <w:rsid w:val="00AF0DF3"/>
    <w:rsid w:val="00AF110D"/>
    <w:rsid w:val="00AF6968"/>
    <w:rsid w:val="00B01DE0"/>
    <w:rsid w:val="00B14166"/>
    <w:rsid w:val="00B14F0B"/>
    <w:rsid w:val="00B35172"/>
    <w:rsid w:val="00B35E88"/>
    <w:rsid w:val="00B40989"/>
    <w:rsid w:val="00B41328"/>
    <w:rsid w:val="00B43526"/>
    <w:rsid w:val="00B61E51"/>
    <w:rsid w:val="00B634A8"/>
    <w:rsid w:val="00B66BA6"/>
    <w:rsid w:val="00B76933"/>
    <w:rsid w:val="00B939B3"/>
    <w:rsid w:val="00B963D4"/>
    <w:rsid w:val="00BA0769"/>
    <w:rsid w:val="00BB1F7C"/>
    <w:rsid w:val="00BB3B1D"/>
    <w:rsid w:val="00BB6456"/>
    <w:rsid w:val="00BB69CF"/>
    <w:rsid w:val="00BC18A2"/>
    <w:rsid w:val="00BC1FBA"/>
    <w:rsid w:val="00BC25F8"/>
    <w:rsid w:val="00BC4820"/>
    <w:rsid w:val="00BD1288"/>
    <w:rsid w:val="00BD29E0"/>
    <w:rsid w:val="00C03A85"/>
    <w:rsid w:val="00C06EED"/>
    <w:rsid w:val="00C07B75"/>
    <w:rsid w:val="00C175F9"/>
    <w:rsid w:val="00C219F1"/>
    <w:rsid w:val="00C2596C"/>
    <w:rsid w:val="00C3459E"/>
    <w:rsid w:val="00C34CAE"/>
    <w:rsid w:val="00C427FC"/>
    <w:rsid w:val="00C51C6C"/>
    <w:rsid w:val="00C60931"/>
    <w:rsid w:val="00C611B5"/>
    <w:rsid w:val="00C65DCE"/>
    <w:rsid w:val="00C73477"/>
    <w:rsid w:val="00C773CF"/>
    <w:rsid w:val="00C94AC8"/>
    <w:rsid w:val="00CA00EF"/>
    <w:rsid w:val="00CA3427"/>
    <w:rsid w:val="00CB3E6C"/>
    <w:rsid w:val="00CC50A1"/>
    <w:rsid w:val="00CE761F"/>
    <w:rsid w:val="00CE7AA3"/>
    <w:rsid w:val="00CF1574"/>
    <w:rsid w:val="00CF1930"/>
    <w:rsid w:val="00CF21A7"/>
    <w:rsid w:val="00D00BA7"/>
    <w:rsid w:val="00D01B18"/>
    <w:rsid w:val="00D02E96"/>
    <w:rsid w:val="00D17F09"/>
    <w:rsid w:val="00D30234"/>
    <w:rsid w:val="00D32CB0"/>
    <w:rsid w:val="00D33952"/>
    <w:rsid w:val="00D35D6B"/>
    <w:rsid w:val="00D424C9"/>
    <w:rsid w:val="00D43B65"/>
    <w:rsid w:val="00D46C05"/>
    <w:rsid w:val="00D53334"/>
    <w:rsid w:val="00D560E1"/>
    <w:rsid w:val="00D60E11"/>
    <w:rsid w:val="00D921CC"/>
    <w:rsid w:val="00DA3CE6"/>
    <w:rsid w:val="00DA570A"/>
    <w:rsid w:val="00DB47AA"/>
    <w:rsid w:val="00DB7EE2"/>
    <w:rsid w:val="00DC1138"/>
    <w:rsid w:val="00DC1D52"/>
    <w:rsid w:val="00DD2F07"/>
    <w:rsid w:val="00DE35AA"/>
    <w:rsid w:val="00DF084C"/>
    <w:rsid w:val="00E01326"/>
    <w:rsid w:val="00E0499A"/>
    <w:rsid w:val="00E07114"/>
    <w:rsid w:val="00E12D5A"/>
    <w:rsid w:val="00E208E4"/>
    <w:rsid w:val="00E251E6"/>
    <w:rsid w:val="00E26087"/>
    <w:rsid w:val="00E415AA"/>
    <w:rsid w:val="00E428C6"/>
    <w:rsid w:val="00E43B3A"/>
    <w:rsid w:val="00E4575F"/>
    <w:rsid w:val="00E524EF"/>
    <w:rsid w:val="00E53BEF"/>
    <w:rsid w:val="00E54BA3"/>
    <w:rsid w:val="00E5596D"/>
    <w:rsid w:val="00E55AEB"/>
    <w:rsid w:val="00E6388B"/>
    <w:rsid w:val="00E65D55"/>
    <w:rsid w:val="00E67B57"/>
    <w:rsid w:val="00E84390"/>
    <w:rsid w:val="00E879A0"/>
    <w:rsid w:val="00EA7C4A"/>
    <w:rsid w:val="00EB405E"/>
    <w:rsid w:val="00EB4575"/>
    <w:rsid w:val="00EE6F63"/>
    <w:rsid w:val="00F04F18"/>
    <w:rsid w:val="00F05549"/>
    <w:rsid w:val="00F0738F"/>
    <w:rsid w:val="00F10420"/>
    <w:rsid w:val="00F17CA4"/>
    <w:rsid w:val="00F20A7C"/>
    <w:rsid w:val="00F2493B"/>
    <w:rsid w:val="00F24E76"/>
    <w:rsid w:val="00F31864"/>
    <w:rsid w:val="00F36C50"/>
    <w:rsid w:val="00F37E49"/>
    <w:rsid w:val="00F43167"/>
    <w:rsid w:val="00F542FB"/>
    <w:rsid w:val="00F62939"/>
    <w:rsid w:val="00F71253"/>
    <w:rsid w:val="00F7216B"/>
    <w:rsid w:val="00F730A2"/>
    <w:rsid w:val="00F7381B"/>
    <w:rsid w:val="00F761A6"/>
    <w:rsid w:val="00F76352"/>
    <w:rsid w:val="00F765FC"/>
    <w:rsid w:val="00F81F04"/>
    <w:rsid w:val="00F849CF"/>
    <w:rsid w:val="00F92BB0"/>
    <w:rsid w:val="00F97104"/>
    <w:rsid w:val="00FA0D49"/>
    <w:rsid w:val="00FA3E99"/>
    <w:rsid w:val="00FA6410"/>
    <w:rsid w:val="00FB32CB"/>
    <w:rsid w:val="00FB7748"/>
    <w:rsid w:val="00FB7A28"/>
    <w:rsid w:val="00FC013D"/>
    <w:rsid w:val="00FC242B"/>
    <w:rsid w:val="00FC64C5"/>
    <w:rsid w:val="00FD0814"/>
    <w:rsid w:val="00FE171C"/>
    <w:rsid w:val="00FE1E66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2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13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11D0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B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7748"/>
  </w:style>
  <w:style w:type="paragraph" w:styleId="a9">
    <w:name w:val="footer"/>
    <w:basedOn w:val="a"/>
    <w:link w:val="aa"/>
    <w:uiPriority w:val="99"/>
    <w:unhideWhenUsed/>
    <w:rsid w:val="00FB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2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13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11D0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B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7748"/>
  </w:style>
  <w:style w:type="paragraph" w:styleId="a9">
    <w:name w:val="footer"/>
    <w:basedOn w:val="a"/>
    <w:link w:val="aa"/>
    <w:uiPriority w:val="99"/>
    <w:unhideWhenUsed/>
    <w:rsid w:val="00FB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4F42-7A21-414C-A226-3A5DF6A9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Andrey.Verkholantsev</dc:creator>
  <cp:lastModifiedBy>Комаров Алексей Константинович</cp:lastModifiedBy>
  <cp:revision>4</cp:revision>
  <cp:lastPrinted>2016-08-22T07:13:00Z</cp:lastPrinted>
  <dcterms:created xsi:type="dcterms:W3CDTF">2016-08-18T08:17:00Z</dcterms:created>
  <dcterms:modified xsi:type="dcterms:W3CDTF">2016-09-20T07:40:00Z</dcterms:modified>
</cp:coreProperties>
</file>