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21DD" w14:textId="678248CF" w:rsidR="000F5ED1" w:rsidRPr="003E25BC" w:rsidRDefault="004717A9" w:rsidP="0034412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нпф-в-россии-что-дальше"/>
      <w:bookmarkStart w:id="1" w:name="_GoBack"/>
      <w:bookmarkEnd w:id="0"/>
      <w:r w:rsidRPr="003E25BC">
        <w:rPr>
          <w:rFonts w:ascii="Times New Roman" w:hAnsi="Times New Roman" w:cs="Times New Roman"/>
          <w:color w:val="000000" w:themeColor="text1"/>
        </w:rPr>
        <w:t>НПФ в России, что дальше?</w:t>
      </w:r>
      <w:r w:rsidR="003E25BC" w:rsidRPr="003E25BC">
        <w:rPr>
          <w:rStyle w:val="a"/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1"/>
    <w:p w14:paraId="625D16C5" w14:textId="77777777" w:rsidR="003E25BC" w:rsidRDefault="003E25BC" w:rsidP="00344126">
      <w:pPr>
        <w:spacing w:before="100" w:beforeAutospacing="1" w:after="100" w:afterAutospacing="1"/>
        <w:ind w:left="170"/>
        <w:jc w:val="right"/>
        <w:rPr>
          <w:b/>
          <w:bCs/>
          <w:i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2BAD03BC" wp14:editId="27750CF4">
            <wp:extent cx="1669774" cy="1112786"/>
            <wp:effectExtent l="0" t="0" r="6985" b="0"/>
            <wp:docPr id="2" name="Рисунок 2" descr="C:\Users\akomarov\Desktop\Журнал новый номер\27\Antony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Журнал новый номер\27\Antony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87" cy="11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D22F" w14:textId="40B62640" w:rsidR="00344126" w:rsidRPr="003E25BC" w:rsidRDefault="003E25BC" w:rsidP="00344126">
      <w:pPr>
        <w:spacing w:before="100" w:beforeAutospacing="1" w:after="100" w:afterAutospacing="1"/>
        <w:ind w:left="170"/>
        <w:jc w:val="right"/>
        <w:rPr>
          <w:rFonts w:ascii="Times New Roman" w:hAnsi="Times New Roman" w:cs="Times New Roman"/>
          <w:i/>
          <w:color w:val="000000" w:themeColor="text1"/>
        </w:rPr>
      </w:pPr>
      <w:r w:rsidRPr="003E25BC">
        <w:rPr>
          <w:rFonts w:ascii="Times New Roman" w:hAnsi="Times New Roman" w:cs="Times New Roman"/>
          <w:bCs/>
          <w:i/>
          <w:color w:val="000000" w:themeColor="text1"/>
          <w:szCs w:val="22"/>
        </w:rPr>
        <w:t xml:space="preserve">Сергей </w:t>
      </w:r>
      <w:proofErr w:type="spellStart"/>
      <w:r w:rsidRPr="003E25BC">
        <w:rPr>
          <w:rFonts w:ascii="Times New Roman" w:hAnsi="Times New Roman" w:cs="Times New Roman"/>
          <w:bCs/>
          <w:i/>
          <w:color w:val="000000" w:themeColor="text1"/>
          <w:szCs w:val="22"/>
        </w:rPr>
        <w:t>Антонян</w:t>
      </w:r>
      <w:proofErr w:type="spellEnd"/>
    </w:p>
    <w:p w14:paraId="204D1B39" w14:textId="56B33587" w:rsidR="00344126" w:rsidRPr="003E25BC" w:rsidRDefault="00344126" w:rsidP="003E25BC">
      <w:pPr>
        <w:spacing w:before="100" w:beforeAutospacing="1" w:after="100" w:afterAutospacing="1"/>
        <w:ind w:left="170"/>
        <w:jc w:val="right"/>
        <w:rPr>
          <w:rFonts w:ascii="Times New Roman" w:hAnsi="Times New Roman" w:cs="Times New Roman"/>
          <w:i/>
          <w:color w:val="000000" w:themeColor="text1"/>
          <w:szCs w:val="22"/>
        </w:rPr>
      </w:pPr>
      <w:r w:rsidRPr="003E25BC">
        <w:rPr>
          <w:rFonts w:ascii="Times New Roman" w:hAnsi="Times New Roman" w:cs="Times New Roman"/>
          <w:i/>
          <w:color w:val="000000" w:themeColor="text1"/>
          <w:szCs w:val="22"/>
        </w:rPr>
        <w:t xml:space="preserve">Руководитель направления исследований </w:t>
      </w:r>
      <w:r w:rsidRPr="003E25BC">
        <w:rPr>
          <w:rFonts w:ascii="Times New Roman" w:hAnsi="Times New Roman" w:cs="Times New Roman"/>
          <w:i/>
          <w:color w:val="000000" w:themeColor="text1"/>
          <w:szCs w:val="22"/>
        </w:rPr>
        <w:br/>
        <w:t>финансовых технологий</w:t>
      </w:r>
      <w:r w:rsidR="003E25BC">
        <w:rPr>
          <w:rFonts w:ascii="Times New Roman" w:hAnsi="Times New Roman" w:cs="Times New Roman"/>
          <w:i/>
          <w:color w:val="000000" w:themeColor="text1"/>
          <w:szCs w:val="22"/>
        </w:rPr>
        <w:br/>
      </w:r>
      <w:r w:rsidRPr="003E25BC">
        <w:rPr>
          <w:rFonts w:ascii="Times New Roman" w:hAnsi="Times New Roman" w:cs="Times New Roman"/>
          <w:i/>
          <w:color w:val="000000" w:themeColor="text1"/>
          <w:szCs w:val="22"/>
        </w:rPr>
        <w:t>НАФИ. Аналитический центр.</w:t>
      </w:r>
    </w:p>
    <w:p w14:paraId="2FD4818F" w14:textId="77777777" w:rsidR="00344126" w:rsidRPr="003E25BC" w:rsidRDefault="00344126" w:rsidP="00344126">
      <w:pPr>
        <w:pStyle w:val="a0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3EF1EC48" w14:textId="77777777" w:rsidR="004717A9" w:rsidRPr="003E25BC" w:rsidRDefault="004717A9" w:rsidP="004717A9">
      <w:pPr>
        <w:pStyle w:val="2"/>
        <w:rPr>
          <w:rFonts w:ascii="Times New Roman" w:eastAsia="Times New Roman" w:hAnsi="Times New Roman" w:cs="Times New Roman"/>
        </w:rPr>
      </w:pPr>
      <w:bookmarkStart w:id="2" w:name="_Toc453003209"/>
      <w:bookmarkStart w:id="3" w:name="_Toc462253731"/>
      <w:r w:rsidRPr="003E25BC">
        <w:rPr>
          <w:rFonts w:ascii="Times New Roman" w:eastAsia="Times New Roman" w:hAnsi="Times New Roman" w:cs="Times New Roman"/>
        </w:rPr>
        <w:t>Текущая ситуация в системе пенсионного обеспечения РФ</w:t>
      </w:r>
    </w:p>
    <w:bookmarkEnd w:id="2"/>
    <w:bookmarkEnd w:id="3"/>
    <w:p w14:paraId="62026D8E" w14:textId="7777777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В настоящее время в бюджете Пенсионного фонда России (ПФР) расходы превышают доходы: дефицит бюджета по итогам 2014 г. составил 31 </w:t>
      </w:r>
      <w:proofErr w:type="gramStart"/>
      <w:r w:rsidRPr="003E25BC">
        <w:rPr>
          <w:rFonts w:ascii="Times New Roman" w:hAnsi="Times New Roman" w:cs="Times New Roman"/>
        </w:rPr>
        <w:t>млрд</w:t>
      </w:r>
      <w:proofErr w:type="gramEnd"/>
      <w:r w:rsidRPr="003E25BC">
        <w:rPr>
          <w:rFonts w:ascii="Times New Roman" w:hAnsi="Times New Roman" w:cs="Times New Roman"/>
        </w:rPr>
        <w:t xml:space="preserve"> </w:t>
      </w:r>
      <w:proofErr w:type="spellStart"/>
      <w:r w:rsidRPr="003E25BC">
        <w:rPr>
          <w:rFonts w:ascii="Times New Roman" w:hAnsi="Times New Roman" w:cs="Times New Roman"/>
        </w:rPr>
        <w:t>руб</w:t>
      </w:r>
      <w:proofErr w:type="spellEnd"/>
      <w:r w:rsidRPr="003E25BC">
        <w:rPr>
          <w:rFonts w:ascii="Times New Roman" w:hAnsi="Times New Roman" w:cs="Times New Roman"/>
          <w:vertAlign w:val="superscript"/>
        </w:rPr>
        <w:footnoteReference w:id="1"/>
      </w:r>
      <w:r w:rsidRPr="003E25BC">
        <w:rPr>
          <w:rFonts w:ascii="Times New Roman" w:hAnsi="Times New Roman" w:cs="Times New Roman"/>
        </w:rPr>
        <w:t xml:space="preserve">. По итогам 2015 г. дефицит </w:t>
      </w:r>
      <w:r w:rsidR="006F6F09" w:rsidRPr="003E25BC">
        <w:rPr>
          <w:rFonts w:ascii="Times New Roman" w:hAnsi="Times New Roman" w:cs="Times New Roman"/>
        </w:rPr>
        <w:t>возрос</w:t>
      </w:r>
      <w:r w:rsidR="00254BB8" w:rsidRPr="003E25BC">
        <w:rPr>
          <w:rFonts w:ascii="Times New Roman" w:hAnsi="Times New Roman" w:cs="Times New Roman"/>
        </w:rPr>
        <w:t xml:space="preserve"> до</w:t>
      </w:r>
      <w:r w:rsidRPr="003E25BC">
        <w:rPr>
          <w:rFonts w:ascii="Times New Roman" w:hAnsi="Times New Roman" w:cs="Times New Roman"/>
        </w:rPr>
        <w:t xml:space="preserve"> 544 млрд</w:t>
      </w:r>
      <w:r w:rsidR="00254BB8" w:rsidRPr="003E25BC">
        <w:rPr>
          <w:rFonts w:ascii="Times New Roman" w:hAnsi="Times New Roman" w:cs="Times New Roman"/>
        </w:rPr>
        <w:t>.</w:t>
      </w:r>
      <w:r w:rsidRPr="003E25BC">
        <w:rPr>
          <w:rFonts w:ascii="Times New Roman" w:hAnsi="Times New Roman" w:cs="Times New Roman"/>
        </w:rPr>
        <w:t xml:space="preserve"> руб.</w:t>
      </w:r>
      <w:r w:rsidR="00254BB8" w:rsidRPr="003E25BC">
        <w:rPr>
          <w:rFonts w:ascii="Times New Roman" w:hAnsi="Times New Roman" w:cs="Times New Roman"/>
        </w:rPr>
        <w:t>, а на 2</w:t>
      </w:r>
      <w:r w:rsidRPr="003E25BC">
        <w:rPr>
          <w:rFonts w:ascii="Times New Roman" w:hAnsi="Times New Roman" w:cs="Times New Roman"/>
        </w:rPr>
        <w:t xml:space="preserve">016 г. ПФР </w:t>
      </w:r>
      <w:r w:rsidR="006F6F09" w:rsidRPr="003E25BC">
        <w:rPr>
          <w:rFonts w:ascii="Times New Roman" w:hAnsi="Times New Roman" w:cs="Times New Roman"/>
        </w:rPr>
        <w:t>в минусе на 1</w:t>
      </w:r>
      <w:r w:rsidRPr="003E25BC">
        <w:rPr>
          <w:rFonts w:ascii="Times New Roman" w:hAnsi="Times New Roman" w:cs="Times New Roman"/>
        </w:rPr>
        <w:t>75 млрд руб.</w:t>
      </w:r>
      <w:r w:rsidRPr="003E25BC">
        <w:rPr>
          <w:rFonts w:ascii="Times New Roman" w:hAnsi="Times New Roman" w:cs="Times New Roman"/>
          <w:vertAlign w:val="superscript"/>
        </w:rPr>
        <w:footnoteReference w:id="2"/>
      </w:r>
      <w:r w:rsidRPr="003E25BC">
        <w:rPr>
          <w:rFonts w:ascii="Times New Roman" w:hAnsi="Times New Roman" w:cs="Times New Roman"/>
        </w:rPr>
        <w:t xml:space="preserve"> </w:t>
      </w:r>
      <w:r w:rsidR="00657315" w:rsidRPr="003E25BC">
        <w:rPr>
          <w:rFonts w:ascii="Times New Roman" w:hAnsi="Times New Roman" w:cs="Times New Roman"/>
        </w:rPr>
        <w:t>При сохранении обязательной индексации распределительных пенсий в соответствии с уровнем инфляции, о</w:t>
      </w:r>
      <w:r w:rsidRPr="003E25BC">
        <w:rPr>
          <w:rFonts w:ascii="Times New Roman" w:hAnsi="Times New Roman" w:cs="Times New Roman"/>
        </w:rPr>
        <w:t xml:space="preserve">жидается дальнейший рост нагрузки на бюджет фонда. </w:t>
      </w:r>
      <w:r w:rsidR="00657315" w:rsidRPr="003E25BC">
        <w:rPr>
          <w:rFonts w:ascii="Times New Roman" w:hAnsi="Times New Roman" w:cs="Times New Roman"/>
        </w:rPr>
        <w:t>П</w:t>
      </w:r>
      <w:r w:rsidRPr="003E25BC">
        <w:rPr>
          <w:rFonts w:ascii="Times New Roman" w:hAnsi="Times New Roman" w:cs="Times New Roman"/>
        </w:rPr>
        <w:t xml:space="preserve">о </w:t>
      </w:r>
      <w:r w:rsidR="00657315" w:rsidRPr="003E25BC">
        <w:rPr>
          <w:rFonts w:ascii="Times New Roman" w:hAnsi="Times New Roman" w:cs="Times New Roman"/>
        </w:rPr>
        <w:t>оценкам</w:t>
      </w:r>
      <w:r w:rsidRPr="003E25BC">
        <w:rPr>
          <w:rFonts w:ascii="Times New Roman" w:hAnsi="Times New Roman" w:cs="Times New Roman"/>
        </w:rPr>
        <w:t xml:space="preserve"> главы ПФР Антона Дроздова, дефицит бюджета ПФР в 2017 г., увеличится до 1,1 </w:t>
      </w:r>
      <w:proofErr w:type="gramStart"/>
      <w:r w:rsidRPr="003E25BC">
        <w:rPr>
          <w:rFonts w:ascii="Times New Roman" w:hAnsi="Times New Roman" w:cs="Times New Roman"/>
        </w:rPr>
        <w:t>трлн</w:t>
      </w:r>
      <w:proofErr w:type="gramEnd"/>
      <w:r w:rsidRPr="003E25BC">
        <w:rPr>
          <w:rFonts w:ascii="Times New Roman" w:hAnsi="Times New Roman" w:cs="Times New Roman"/>
        </w:rPr>
        <w:t xml:space="preserve"> руб.</w:t>
      </w:r>
      <w:r w:rsidRPr="003E25BC">
        <w:rPr>
          <w:rFonts w:ascii="Times New Roman" w:hAnsi="Times New Roman" w:cs="Times New Roman"/>
          <w:vertAlign w:val="superscript"/>
        </w:rPr>
        <w:footnoteReference w:id="3"/>
      </w:r>
      <w:r w:rsidRPr="003E25BC">
        <w:rPr>
          <w:rFonts w:ascii="Times New Roman" w:hAnsi="Times New Roman" w:cs="Times New Roman"/>
        </w:rPr>
        <w:t xml:space="preserve"> </w:t>
      </w:r>
    </w:p>
    <w:p w14:paraId="1231D3E7" w14:textId="77777777" w:rsidR="004717A9" w:rsidRPr="003E25BC" w:rsidRDefault="004717A9" w:rsidP="004F0DA4">
      <w:pPr>
        <w:spacing w:before="120"/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t>Рис. 1. Дефицит бюджета ПФР за 2014-2017 гг.</w:t>
      </w:r>
      <w:r w:rsidRPr="003E25BC">
        <w:rPr>
          <w:rFonts w:ascii="Times New Roman" w:hAnsi="Times New Roman" w:cs="Times New Roman"/>
          <w:b/>
          <w:vertAlign w:val="superscript"/>
        </w:rPr>
        <w:footnoteReference w:id="4"/>
      </w:r>
      <w:r w:rsidRPr="003E25BC">
        <w:rPr>
          <w:rFonts w:ascii="Times New Roman" w:hAnsi="Times New Roman" w:cs="Times New Roman"/>
          <w:b/>
        </w:rPr>
        <w:t xml:space="preserve"> </w:t>
      </w:r>
    </w:p>
    <w:p w14:paraId="1C9B0D4D" w14:textId="77777777" w:rsidR="004717A9" w:rsidRPr="004717A9" w:rsidRDefault="004717A9" w:rsidP="004717A9">
      <w:r w:rsidRPr="004717A9">
        <w:rPr>
          <w:noProof/>
        </w:rPr>
        <w:lastRenderedPageBreak/>
        <w:drawing>
          <wp:inline distT="0" distB="0" distL="0" distR="0" wp14:anchorId="54482E0C" wp14:editId="701B73B9">
            <wp:extent cx="5305425" cy="2743200"/>
            <wp:effectExtent l="0" t="0" r="0" b="0"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5A0849" w14:textId="7777777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Источник: данные ПФР </w:t>
      </w:r>
    </w:p>
    <w:p w14:paraId="2FFC8CAC" w14:textId="77777777" w:rsidR="006F6F09" w:rsidRPr="003E25BC" w:rsidRDefault="006F6F09" w:rsidP="004717A9">
      <w:pPr>
        <w:rPr>
          <w:rFonts w:ascii="Times New Roman" w:hAnsi="Times New Roman" w:cs="Times New Roman"/>
        </w:rPr>
      </w:pPr>
    </w:p>
    <w:p w14:paraId="06AD6626" w14:textId="77777777" w:rsidR="004717A9" w:rsidRPr="003E25BC" w:rsidRDefault="006F6F09" w:rsidP="006F6F0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Создают дефицит бюджета ПФР несколько факторов. Во-первых, </w:t>
      </w:r>
      <w:r w:rsidRPr="003E25BC">
        <w:rPr>
          <w:rFonts w:ascii="Times New Roman" w:hAnsi="Times New Roman" w:cs="Times New Roman"/>
          <w:b/>
        </w:rPr>
        <w:t>з</w:t>
      </w:r>
      <w:r w:rsidR="00657315" w:rsidRPr="003E25BC">
        <w:rPr>
          <w:rFonts w:ascii="Times New Roman" w:hAnsi="Times New Roman" w:cs="Times New Roman"/>
          <w:b/>
        </w:rPr>
        <w:t>начительная</w:t>
      </w:r>
      <w:r w:rsidR="004717A9" w:rsidRPr="003E25BC">
        <w:rPr>
          <w:rFonts w:ascii="Times New Roman" w:hAnsi="Times New Roman" w:cs="Times New Roman"/>
          <w:b/>
        </w:rPr>
        <w:t xml:space="preserve"> доля неформальной и теневой занятости,</w:t>
      </w:r>
      <w:r w:rsidR="004717A9" w:rsidRPr="003E25BC">
        <w:rPr>
          <w:rFonts w:ascii="Times New Roman" w:hAnsi="Times New Roman" w:cs="Times New Roman"/>
        </w:rPr>
        <w:t xml:space="preserve"> </w:t>
      </w:r>
      <w:r w:rsidRPr="003E25BC">
        <w:rPr>
          <w:rFonts w:ascii="Times New Roman" w:hAnsi="Times New Roman" w:cs="Times New Roman"/>
        </w:rPr>
        <w:t xml:space="preserve">а также </w:t>
      </w:r>
      <w:r w:rsidR="00657315" w:rsidRPr="003E25BC">
        <w:rPr>
          <w:rFonts w:ascii="Times New Roman" w:hAnsi="Times New Roman" w:cs="Times New Roman"/>
        </w:rPr>
        <w:t>высокий уровень</w:t>
      </w:r>
      <w:r w:rsidR="004717A9" w:rsidRPr="003E25BC">
        <w:rPr>
          <w:rFonts w:ascii="Times New Roman" w:hAnsi="Times New Roman" w:cs="Times New Roman"/>
        </w:rPr>
        <w:t xml:space="preserve"> безработицы </w:t>
      </w:r>
      <w:r w:rsidR="00657315" w:rsidRPr="003E25BC">
        <w:rPr>
          <w:rFonts w:ascii="Times New Roman" w:hAnsi="Times New Roman" w:cs="Times New Roman"/>
        </w:rPr>
        <w:t xml:space="preserve">в России. По расчётам </w:t>
      </w:r>
      <w:r w:rsidR="004717A9" w:rsidRPr="003E25BC">
        <w:rPr>
          <w:rFonts w:ascii="Times New Roman" w:hAnsi="Times New Roman" w:cs="Times New Roman"/>
        </w:rPr>
        <w:t>Академии труда и социальных отношений</w:t>
      </w:r>
      <w:r w:rsidR="00657315" w:rsidRPr="003E25BC">
        <w:rPr>
          <w:rFonts w:ascii="Times New Roman" w:hAnsi="Times New Roman" w:cs="Times New Roman"/>
        </w:rPr>
        <w:t xml:space="preserve"> только по этим причинам </w:t>
      </w:r>
      <w:r w:rsidR="004717A9" w:rsidRPr="003E25BC">
        <w:rPr>
          <w:rFonts w:ascii="Times New Roman" w:hAnsi="Times New Roman" w:cs="Times New Roman"/>
        </w:rPr>
        <w:t xml:space="preserve">пенсионная система России теряет 3,4 </w:t>
      </w:r>
      <w:proofErr w:type="gramStart"/>
      <w:r w:rsidR="004717A9" w:rsidRPr="003E25BC">
        <w:rPr>
          <w:rFonts w:ascii="Times New Roman" w:hAnsi="Times New Roman" w:cs="Times New Roman"/>
        </w:rPr>
        <w:t>трлн</w:t>
      </w:r>
      <w:proofErr w:type="gramEnd"/>
      <w:r w:rsidR="004717A9" w:rsidRPr="003E25BC">
        <w:rPr>
          <w:rFonts w:ascii="Times New Roman" w:hAnsi="Times New Roman" w:cs="Times New Roman"/>
        </w:rPr>
        <w:t xml:space="preserve"> руб.</w:t>
      </w:r>
      <w:r w:rsidR="004717A9" w:rsidRPr="003E25BC">
        <w:rPr>
          <w:rFonts w:ascii="Times New Roman" w:hAnsi="Times New Roman" w:cs="Times New Roman"/>
          <w:vertAlign w:val="superscript"/>
        </w:rPr>
        <w:footnoteReference w:id="5"/>
      </w:r>
      <w:r w:rsidR="00657315" w:rsidRPr="003E25BC">
        <w:rPr>
          <w:rFonts w:ascii="Times New Roman" w:hAnsi="Times New Roman" w:cs="Times New Roman"/>
        </w:rPr>
        <w:t xml:space="preserve"> ежегодно.</w:t>
      </w:r>
      <w:r w:rsidR="004717A9" w:rsidRPr="003E25BC">
        <w:rPr>
          <w:rFonts w:ascii="Times New Roman" w:hAnsi="Times New Roman" w:cs="Times New Roman"/>
        </w:rPr>
        <w:t xml:space="preserve"> </w:t>
      </w:r>
    </w:p>
    <w:p w14:paraId="4534741B" w14:textId="77777777" w:rsidR="006F6F09" w:rsidRPr="003E25BC" w:rsidRDefault="006F6F09" w:rsidP="006F6F09">
      <w:pPr>
        <w:pStyle w:val="af0"/>
        <w:rPr>
          <w:rFonts w:ascii="Times New Roman" w:hAnsi="Times New Roman" w:cs="Times New Roman"/>
        </w:rPr>
      </w:pPr>
    </w:p>
    <w:p w14:paraId="08570169" w14:textId="77777777" w:rsidR="004717A9" w:rsidRPr="003E25BC" w:rsidRDefault="004717A9" w:rsidP="004717A9">
      <w:pPr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t xml:space="preserve">Таб. 1. </w:t>
      </w:r>
      <w:proofErr w:type="gramStart"/>
      <w:r w:rsidRPr="003E25BC">
        <w:rPr>
          <w:rFonts w:ascii="Times New Roman" w:hAnsi="Times New Roman" w:cs="Times New Roman"/>
          <w:b/>
        </w:rPr>
        <w:t>Занятые в неформальном секторе в % к общей численности занятого населения в 2014 г.</w:t>
      </w:r>
      <w:r w:rsidRPr="003E25BC">
        <w:rPr>
          <w:rFonts w:ascii="Times New Roman" w:hAnsi="Times New Roman" w:cs="Times New Roman"/>
          <w:b/>
          <w:vertAlign w:val="superscript"/>
        </w:rPr>
        <w:footnoteReference w:id="6"/>
      </w:r>
      <w:proofErr w:type="gramEnd"/>
    </w:p>
    <w:tbl>
      <w:tblPr>
        <w:tblStyle w:val="af"/>
        <w:tblW w:w="9710" w:type="dxa"/>
        <w:tblInd w:w="37" w:type="dxa"/>
        <w:tblLook w:val="04A0" w:firstRow="1" w:lastRow="0" w:firstColumn="1" w:lastColumn="0" w:noHBand="0" w:noVBand="1"/>
      </w:tblPr>
      <w:tblGrid>
        <w:gridCol w:w="5316"/>
        <w:gridCol w:w="4394"/>
      </w:tblGrid>
      <w:tr w:rsidR="00DF583F" w:rsidRPr="00DF583F" w14:paraId="5071A58A" w14:textId="77777777" w:rsidTr="004E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CDDC535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4394" w:type="dxa"/>
            <w:hideMark/>
          </w:tcPr>
          <w:p w14:paraId="32E32E3D" w14:textId="77777777" w:rsidR="004717A9" w:rsidRPr="00DF583F" w:rsidRDefault="004717A9" w:rsidP="00DF583F">
            <w:pPr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20,1</w:t>
            </w:r>
          </w:p>
        </w:tc>
      </w:tr>
      <w:tr w:rsidR="00DF583F" w:rsidRPr="00DF583F" w14:paraId="1C7D487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2E86EA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</w:tc>
        <w:tc>
          <w:tcPr>
            <w:tcW w:w="4394" w:type="dxa"/>
            <w:hideMark/>
          </w:tcPr>
          <w:p w14:paraId="19E90BF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63</w:t>
            </w:r>
          </w:p>
        </w:tc>
      </w:tr>
      <w:tr w:rsidR="00DF583F" w:rsidRPr="00DF583F" w14:paraId="2288BE70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D51E47C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Дагестан</w:t>
            </w:r>
          </w:p>
        </w:tc>
        <w:tc>
          <w:tcPr>
            <w:tcW w:w="4394" w:type="dxa"/>
            <w:hideMark/>
          </w:tcPr>
          <w:p w14:paraId="19B7281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57</w:t>
            </w:r>
          </w:p>
        </w:tc>
      </w:tr>
      <w:tr w:rsidR="00DF583F" w:rsidRPr="00DF583F" w14:paraId="2BCE111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2FE933E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Ингушетия</w:t>
            </w:r>
          </w:p>
        </w:tc>
        <w:tc>
          <w:tcPr>
            <w:tcW w:w="4394" w:type="dxa"/>
            <w:hideMark/>
          </w:tcPr>
          <w:p w14:paraId="2B63B972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50,9</w:t>
            </w:r>
          </w:p>
        </w:tc>
      </w:tr>
      <w:tr w:rsidR="00DF583F" w:rsidRPr="00DF583F" w14:paraId="5EC984F6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B71C465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Кабардино-Балкарская Р.</w:t>
            </w:r>
          </w:p>
        </w:tc>
        <w:tc>
          <w:tcPr>
            <w:tcW w:w="4394" w:type="dxa"/>
            <w:hideMark/>
          </w:tcPr>
          <w:p w14:paraId="76881CE5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49,7</w:t>
            </w:r>
          </w:p>
        </w:tc>
      </w:tr>
      <w:tr w:rsidR="00DF583F" w:rsidRPr="00DF583F" w14:paraId="7D6E3B3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3FEB04C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Карачаево-Черкесская Р.</w:t>
            </w:r>
          </w:p>
        </w:tc>
        <w:tc>
          <w:tcPr>
            <w:tcW w:w="4394" w:type="dxa"/>
            <w:hideMark/>
          </w:tcPr>
          <w:p w14:paraId="0CBE5923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40,2</w:t>
            </w:r>
          </w:p>
        </w:tc>
      </w:tr>
      <w:tr w:rsidR="00DF583F" w:rsidRPr="00DF583F" w14:paraId="5AA986DB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8E2092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Алтай</w:t>
            </w:r>
          </w:p>
        </w:tc>
        <w:tc>
          <w:tcPr>
            <w:tcW w:w="4394" w:type="dxa"/>
            <w:hideMark/>
          </w:tcPr>
          <w:p w14:paraId="628670FD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35,1</w:t>
            </w:r>
          </w:p>
        </w:tc>
      </w:tr>
      <w:tr w:rsidR="00DF583F" w:rsidRPr="00DF583F" w14:paraId="2E2E620F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4A75D7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Омская область</w:t>
            </w:r>
          </w:p>
        </w:tc>
        <w:tc>
          <w:tcPr>
            <w:tcW w:w="4394" w:type="dxa"/>
            <w:hideMark/>
          </w:tcPr>
          <w:p w14:paraId="13B8A8B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33,1</w:t>
            </w:r>
          </w:p>
        </w:tc>
      </w:tr>
      <w:tr w:rsidR="00DF583F" w:rsidRPr="00DF583F" w14:paraId="70D6BD61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474958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Адыгея</w:t>
            </w:r>
          </w:p>
        </w:tc>
        <w:tc>
          <w:tcPr>
            <w:tcW w:w="4394" w:type="dxa"/>
            <w:hideMark/>
          </w:tcPr>
          <w:p w14:paraId="4799C2E6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33</w:t>
            </w:r>
          </w:p>
        </w:tc>
      </w:tr>
      <w:tr w:rsidR="00DF583F" w:rsidRPr="00DF583F" w14:paraId="50C9669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92C2B8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Калмыкия</w:t>
            </w:r>
          </w:p>
        </w:tc>
        <w:tc>
          <w:tcPr>
            <w:tcW w:w="4394" w:type="dxa"/>
            <w:hideMark/>
          </w:tcPr>
          <w:p w14:paraId="2E8F76B2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31</w:t>
            </w:r>
          </w:p>
        </w:tc>
      </w:tr>
      <w:tr w:rsidR="00DF583F" w:rsidRPr="00DF583F" w14:paraId="7F4CBFCB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971F6E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Северная Осетия</w:t>
            </w:r>
          </w:p>
        </w:tc>
        <w:tc>
          <w:tcPr>
            <w:tcW w:w="4394" w:type="dxa"/>
            <w:hideMark/>
          </w:tcPr>
          <w:p w14:paraId="041A481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30,8</w:t>
            </w:r>
          </w:p>
        </w:tc>
      </w:tr>
      <w:tr w:rsidR="00DF583F" w:rsidRPr="00DF583F" w14:paraId="2A738D0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E66D15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Чувашская Республика</w:t>
            </w:r>
          </w:p>
        </w:tc>
        <w:tc>
          <w:tcPr>
            <w:tcW w:w="4394" w:type="dxa"/>
            <w:hideMark/>
          </w:tcPr>
          <w:p w14:paraId="097A0DE4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30,5</w:t>
            </w:r>
          </w:p>
        </w:tc>
      </w:tr>
      <w:tr w:rsidR="00DF583F" w:rsidRPr="00DF583F" w14:paraId="1217345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DF68EB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Бурятия</w:t>
            </w:r>
          </w:p>
        </w:tc>
        <w:tc>
          <w:tcPr>
            <w:tcW w:w="4394" w:type="dxa"/>
            <w:hideMark/>
          </w:tcPr>
          <w:p w14:paraId="66CE441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F583F" w:rsidRPr="00DF583F" w14:paraId="217759B4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F3FF5D4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Пензенская область</w:t>
            </w:r>
          </w:p>
        </w:tc>
        <w:tc>
          <w:tcPr>
            <w:tcW w:w="4394" w:type="dxa"/>
            <w:hideMark/>
          </w:tcPr>
          <w:p w14:paraId="73C6820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29,8</w:t>
            </w:r>
          </w:p>
        </w:tc>
      </w:tr>
      <w:tr w:rsidR="00DF583F" w:rsidRPr="00DF583F" w14:paraId="329F18C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AB91E5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Башкортостан</w:t>
            </w:r>
          </w:p>
        </w:tc>
        <w:tc>
          <w:tcPr>
            <w:tcW w:w="4394" w:type="dxa"/>
            <w:hideMark/>
          </w:tcPr>
          <w:p w14:paraId="2ACDC22E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29,3</w:t>
            </w:r>
          </w:p>
        </w:tc>
      </w:tr>
      <w:tr w:rsidR="00DF583F" w:rsidRPr="00DF583F" w14:paraId="7949A861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C8681B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Ставропольский край</w:t>
            </w:r>
          </w:p>
        </w:tc>
        <w:tc>
          <w:tcPr>
            <w:tcW w:w="4394" w:type="dxa"/>
            <w:hideMark/>
          </w:tcPr>
          <w:p w14:paraId="6F2BAAF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29,3</w:t>
            </w:r>
          </w:p>
        </w:tc>
      </w:tr>
      <w:tr w:rsidR="00DF583F" w:rsidRPr="00DF583F" w14:paraId="5E37BC65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9CD805C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Астраханская область</w:t>
            </w:r>
          </w:p>
        </w:tc>
        <w:tc>
          <w:tcPr>
            <w:tcW w:w="4394" w:type="dxa"/>
            <w:hideMark/>
          </w:tcPr>
          <w:p w14:paraId="7BC20B4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28,7</w:t>
            </w:r>
          </w:p>
        </w:tc>
      </w:tr>
      <w:tr w:rsidR="00DF583F" w:rsidRPr="00DF583F" w14:paraId="2B62AB1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B43569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Краснодарский край</w:t>
            </w:r>
          </w:p>
        </w:tc>
        <w:tc>
          <w:tcPr>
            <w:tcW w:w="4394" w:type="dxa"/>
            <w:hideMark/>
          </w:tcPr>
          <w:p w14:paraId="015EC2C5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28,1</w:t>
            </w:r>
          </w:p>
        </w:tc>
      </w:tr>
      <w:tr w:rsidR="00DF583F" w:rsidRPr="00DF583F" w14:paraId="052C597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34ACC6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Ивановская область</w:t>
            </w:r>
          </w:p>
        </w:tc>
        <w:tc>
          <w:tcPr>
            <w:tcW w:w="4394" w:type="dxa"/>
            <w:hideMark/>
          </w:tcPr>
          <w:p w14:paraId="678F729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DF583F" w:rsidRPr="00DF583F" w14:paraId="6CCDCE9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1714FC0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Саратовская область</w:t>
            </w:r>
          </w:p>
        </w:tc>
        <w:tc>
          <w:tcPr>
            <w:tcW w:w="4394" w:type="dxa"/>
            <w:hideMark/>
          </w:tcPr>
          <w:p w14:paraId="430D359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27,6</w:t>
            </w:r>
          </w:p>
        </w:tc>
      </w:tr>
      <w:tr w:rsidR="00DF583F" w:rsidRPr="00DF583F" w14:paraId="7BAFA8E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E7ACCB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lastRenderedPageBreak/>
              <w:t>Курганская область</w:t>
            </w:r>
          </w:p>
        </w:tc>
        <w:tc>
          <w:tcPr>
            <w:tcW w:w="4394" w:type="dxa"/>
            <w:hideMark/>
          </w:tcPr>
          <w:p w14:paraId="380D923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27,4</w:t>
            </w:r>
          </w:p>
        </w:tc>
      </w:tr>
      <w:tr w:rsidR="00DF583F" w:rsidRPr="00DF583F" w14:paraId="0596B22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CEFFDC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Ростовская область</w:t>
            </w:r>
          </w:p>
        </w:tc>
        <w:tc>
          <w:tcPr>
            <w:tcW w:w="4394" w:type="dxa"/>
            <w:hideMark/>
          </w:tcPr>
          <w:p w14:paraId="3DE7EDB3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27,4</w:t>
            </w:r>
          </w:p>
        </w:tc>
      </w:tr>
      <w:tr w:rsidR="00DF583F" w:rsidRPr="00DF583F" w14:paraId="5748239C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13DA95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Тамбовская область</w:t>
            </w:r>
          </w:p>
        </w:tc>
        <w:tc>
          <w:tcPr>
            <w:tcW w:w="4394" w:type="dxa"/>
            <w:hideMark/>
          </w:tcPr>
          <w:p w14:paraId="359604E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26,8</w:t>
            </w:r>
          </w:p>
        </w:tc>
      </w:tr>
      <w:tr w:rsidR="00DF583F" w:rsidRPr="00DF583F" w14:paraId="626A9B9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58AF45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Тыва</w:t>
            </w:r>
          </w:p>
        </w:tc>
        <w:tc>
          <w:tcPr>
            <w:tcW w:w="4394" w:type="dxa"/>
            <w:hideMark/>
          </w:tcPr>
          <w:p w14:paraId="3ECD3B59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26,5</w:t>
            </w:r>
          </w:p>
        </w:tc>
      </w:tr>
      <w:tr w:rsidR="00DF583F" w:rsidRPr="00DF583F" w14:paraId="3191ADB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EDF32D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Оренбургская область</w:t>
            </w:r>
          </w:p>
        </w:tc>
        <w:tc>
          <w:tcPr>
            <w:tcW w:w="4394" w:type="dxa"/>
            <w:hideMark/>
          </w:tcPr>
          <w:p w14:paraId="43AF27A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26,1</w:t>
            </w:r>
          </w:p>
        </w:tc>
      </w:tr>
      <w:tr w:rsidR="00DF583F" w:rsidRPr="00DF583F" w14:paraId="17884C22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CC293E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4394" w:type="dxa"/>
            <w:hideMark/>
          </w:tcPr>
          <w:p w14:paraId="0FB1153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25,8</w:t>
            </w:r>
          </w:p>
        </w:tc>
      </w:tr>
      <w:tr w:rsidR="00DF583F" w:rsidRPr="00DF583F" w14:paraId="555DD657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2DD63B4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Марий Эл</w:t>
            </w:r>
          </w:p>
        </w:tc>
        <w:tc>
          <w:tcPr>
            <w:tcW w:w="4394" w:type="dxa"/>
            <w:hideMark/>
          </w:tcPr>
          <w:p w14:paraId="6246E8C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25,5</w:t>
            </w:r>
          </w:p>
        </w:tc>
      </w:tr>
      <w:tr w:rsidR="00DF583F" w:rsidRPr="00DF583F" w14:paraId="54B4646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BF4A798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Хакасия</w:t>
            </w:r>
          </w:p>
        </w:tc>
        <w:tc>
          <w:tcPr>
            <w:tcW w:w="4394" w:type="dxa"/>
            <w:hideMark/>
          </w:tcPr>
          <w:p w14:paraId="43CE197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25,4</w:t>
            </w:r>
          </w:p>
        </w:tc>
      </w:tr>
      <w:tr w:rsidR="00DF583F" w:rsidRPr="00DF583F" w14:paraId="73A291DE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77D2375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Тульская область</w:t>
            </w:r>
          </w:p>
        </w:tc>
        <w:tc>
          <w:tcPr>
            <w:tcW w:w="4394" w:type="dxa"/>
            <w:hideMark/>
          </w:tcPr>
          <w:p w14:paraId="06C5F70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24,7</w:t>
            </w:r>
          </w:p>
        </w:tc>
      </w:tr>
      <w:tr w:rsidR="00DF583F" w:rsidRPr="00DF583F" w14:paraId="1782F86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EC2F90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Костромская область</w:t>
            </w:r>
          </w:p>
        </w:tc>
        <w:tc>
          <w:tcPr>
            <w:tcW w:w="4394" w:type="dxa"/>
            <w:hideMark/>
          </w:tcPr>
          <w:p w14:paraId="58D8FD87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24,6</w:t>
            </w:r>
          </w:p>
        </w:tc>
      </w:tr>
      <w:tr w:rsidR="00DF583F" w:rsidRPr="00DF583F" w14:paraId="0A97E237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680C238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Удмуртская Республика</w:t>
            </w:r>
          </w:p>
        </w:tc>
        <w:tc>
          <w:tcPr>
            <w:tcW w:w="4394" w:type="dxa"/>
            <w:hideMark/>
          </w:tcPr>
          <w:p w14:paraId="64A78B4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24,5</w:t>
            </w:r>
          </w:p>
        </w:tc>
      </w:tr>
      <w:tr w:rsidR="00DF583F" w:rsidRPr="00DF583F" w14:paraId="4B64A81D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FCE1844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Мордовия</w:t>
            </w:r>
          </w:p>
        </w:tc>
        <w:tc>
          <w:tcPr>
            <w:tcW w:w="4394" w:type="dxa"/>
            <w:hideMark/>
          </w:tcPr>
          <w:p w14:paraId="2085E31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24,1</w:t>
            </w:r>
          </w:p>
        </w:tc>
      </w:tr>
      <w:tr w:rsidR="00DF583F" w:rsidRPr="00DF583F" w14:paraId="5DA77D9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F924F6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Вологодская область</w:t>
            </w:r>
          </w:p>
        </w:tc>
        <w:tc>
          <w:tcPr>
            <w:tcW w:w="4394" w:type="dxa"/>
            <w:hideMark/>
          </w:tcPr>
          <w:p w14:paraId="5AFE0234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24,1</w:t>
            </w:r>
          </w:p>
        </w:tc>
      </w:tr>
      <w:tr w:rsidR="00DF583F" w:rsidRPr="00DF583F" w14:paraId="136640DF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D8A485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Татарстан</w:t>
            </w:r>
          </w:p>
        </w:tc>
        <w:tc>
          <w:tcPr>
            <w:tcW w:w="4394" w:type="dxa"/>
            <w:hideMark/>
          </w:tcPr>
          <w:p w14:paraId="3D0567A7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24</w:t>
            </w:r>
          </w:p>
        </w:tc>
      </w:tr>
      <w:tr w:rsidR="00DF583F" w:rsidRPr="00DF583F" w14:paraId="21FBC85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4D35E43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 xml:space="preserve">Еврейская </w:t>
            </w:r>
            <w:proofErr w:type="spellStart"/>
            <w:r w:rsidRPr="00DF583F">
              <w:rPr>
                <w:color w:val="000000" w:themeColor="text1"/>
                <w:sz w:val="20"/>
                <w:szCs w:val="20"/>
              </w:rPr>
              <w:t>авт</w:t>
            </w:r>
            <w:proofErr w:type="gramStart"/>
            <w:r w:rsidRPr="00DF583F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DF583F">
              <w:rPr>
                <w:color w:val="000000" w:themeColor="text1"/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4394" w:type="dxa"/>
            <w:hideMark/>
          </w:tcPr>
          <w:p w14:paraId="4BD4137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23,9</w:t>
            </w:r>
          </w:p>
        </w:tc>
      </w:tr>
      <w:tr w:rsidR="00DF583F" w:rsidRPr="00DF583F" w14:paraId="3B317202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341CB6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Орловская область</w:t>
            </w:r>
          </w:p>
        </w:tc>
        <w:tc>
          <w:tcPr>
            <w:tcW w:w="4394" w:type="dxa"/>
            <w:hideMark/>
          </w:tcPr>
          <w:p w14:paraId="1E2637A5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23,8</w:t>
            </w:r>
          </w:p>
        </w:tc>
      </w:tr>
      <w:tr w:rsidR="00DF583F" w:rsidRPr="00DF583F" w14:paraId="5210F7B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2EF91F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Иркутская область</w:t>
            </w:r>
          </w:p>
        </w:tc>
        <w:tc>
          <w:tcPr>
            <w:tcW w:w="4394" w:type="dxa"/>
            <w:hideMark/>
          </w:tcPr>
          <w:p w14:paraId="6BC079E3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23,5</w:t>
            </w:r>
          </w:p>
        </w:tc>
      </w:tr>
      <w:tr w:rsidR="00DF583F" w:rsidRPr="00DF583F" w14:paraId="1806F890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FFC2A3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Томская область</w:t>
            </w:r>
          </w:p>
        </w:tc>
        <w:tc>
          <w:tcPr>
            <w:tcW w:w="4394" w:type="dxa"/>
            <w:hideMark/>
          </w:tcPr>
          <w:p w14:paraId="37ECF1D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23,3</w:t>
            </w:r>
          </w:p>
        </w:tc>
      </w:tr>
      <w:tr w:rsidR="00DF583F" w:rsidRPr="00DF583F" w14:paraId="3C7818D6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E7A60E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Ульяновская область</w:t>
            </w:r>
          </w:p>
        </w:tc>
        <w:tc>
          <w:tcPr>
            <w:tcW w:w="4394" w:type="dxa"/>
            <w:hideMark/>
          </w:tcPr>
          <w:p w14:paraId="17E4B81E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23,1</w:t>
            </w:r>
          </w:p>
        </w:tc>
      </w:tr>
      <w:tr w:rsidR="00DF583F" w:rsidRPr="00DF583F" w14:paraId="5648E69C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65D9D9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Волгоградская область</w:t>
            </w:r>
          </w:p>
        </w:tc>
        <w:tc>
          <w:tcPr>
            <w:tcW w:w="4394" w:type="dxa"/>
            <w:hideMark/>
          </w:tcPr>
          <w:p w14:paraId="30736726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DF583F" w:rsidRPr="00DF583F" w14:paraId="4A7EE96E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5C3C54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Челябинская область</w:t>
            </w:r>
          </w:p>
        </w:tc>
        <w:tc>
          <w:tcPr>
            <w:tcW w:w="4394" w:type="dxa"/>
            <w:hideMark/>
          </w:tcPr>
          <w:p w14:paraId="027480D4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22,9</w:t>
            </w:r>
          </w:p>
        </w:tc>
      </w:tr>
      <w:tr w:rsidR="00DF583F" w:rsidRPr="00DF583F" w14:paraId="212C059B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1CE057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Пермский край</w:t>
            </w:r>
          </w:p>
        </w:tc>
        <w:tc>
          <w:tcPr>
            <w:tcW w:w="4394" w:type="dxa"/>
            <w:hideMark/>
          </w:tcPr>
          <w:p w14:paraId="57B3A0C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22,8</w:t>
            </w:r>
          </w:p>
        </w:tc>
      </w:tr>
      <w:tr w:rsidR="00DF583F" w:rsidRPr="00DF583F" w14:paraId="2B9E103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0DFD9D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Новгородская область</w:t>
            </w:r>
          </w:p>
        </w:tc>
        <w:tc>
          <w:tcPr>
            <w:tcW w:w="4394" w:type="dxa"/>
            <w:hideMark/>
          </w:tcPr>
          <w:p w14:paraId="16B4A802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22,7</w:t>
            </w:r>
          </w:p>
        </w:tc>
      </w:tr>
      <w:tr w:rsidR="00DF583F" w:rsidRPr="00DF583F" w14:paraId="3A6D8A50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9E116B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Архангельская область</w:t>
            </w:r>
          </w:p>
        </w:tc>
        <w:tc>
          <w:tcPr>
            <w:tcW w:w="4394" w:type="dxa"/>
            <w:hideMark/>
          </w:tcPr>
          <w:p w14:paraId="7B31A40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22,7</w:t>
            </w:r>
          </w:p>
        </w:tc>
      </w:tr>
      <w:tr w:rsidR="00DF583F" w:rsidRPr="00DF583F" w14:paraId="67E2CFBD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75FF1B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Забайкальский край</w:t>
            </w:r>
          </w:p>
        </w:tc>
        <w:tc>
          <w:tcPr>
            <w:tcW w:w="4394" w:type="dxa"/>
            <w:hideMark/>
          </w:tcPr>
          <w:p w14:paraId="56C89401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22,4</w:t>
            </w:r>
          </w:p>
        </w:tc>
      </w:tr>
      <w:tr w:rsidR="00DF583F" w:rsidRPr="00DF583F" w14:paraId="29A7EFD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3487CA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Курская область</w:t>
            </w:r>
          </w:p>
        </w:tc>
        <w:tc>
          <w:tcPr>
            <w:tcW w:w="4394" w:type="dxa"/>
            <w:hideMark/>
          </w:tcPr>
          <w:p w14:paraId="0EE2B0DE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22,4</w:t>
            </w:r>
          </w:p>
        </w:tc>
      </w:tr>
      <w:tr w:rsidR="00DF583F" w:rsidRPr="00DF583F" w14:paraId="3853058B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AA90EF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Кировская область</w:t>
            </w:r>
          </w:p>
        </w:tc>
        <w:tc>
          <w:tcPr>
            <w:tcW w:w="4394" w:type="dxa"/>
            <w:hideMark/>
          </w:tcPr>
          <w:p w14:paraId="32B08109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22,3</w:t>
            </w:r>
          </w:p>
        </w:tc>
      </w:tr>
      <w:tr w:rsidR="00DF583F" w:rsidRPr="00DF583F" w14:paraId="1A6E3F8F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4088614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Смоленская область</w:t>
            </w:r>
          </w:p>
        </w:tc>
        <w:tc>
          <w:tcPr>
            <w:tcW w:w="4394" w:type="dxa"/>
            <w:hideMark/>
          </w:tcPr>
          <w:p w14:paraId="360C8C47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21,4</w:t>
            </w:r>
          </w:p>
        </w:tc>
      </w:tr>
      <w:tr w:rsidR="00DF583F" w:rsidRPr="00DF583F" w14:paraId="0D248534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2891A88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Алтайский край</w:t>
            </w:r>
          </w:p>
        </w:tc>
        <w:tc>
          <w:tcPr>
            <w:tcW w:w="4394" w:type="dxa"/>
            <w:hideMark/>
          </w:tcPr>
          <w:p w14:paraId="30CB951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21,3</w:t>
            </w:r>
          </w:p>
        </w:tc>
      </w:tr>
      <w:tr w:rsidR="00DF583F" w:rsidRPr="00DF583F" w14:paraId="42623351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D16E58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Белгородская область</w:t>
            </w:r>
          </w:p>
        </w:tc>
        <w:tc>
          <w:tcPr>
            <w:tcW w:w="4394" w:type="dxa"/>
            <w:hideMark/>
          </w:tcPr>
          <w:p w14:paraId="0270F48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21,1</w:t>
            </w:r>
          </w:p>
        </w:tc>
      </w:tr>
      <w:tr w:rsidR="00DF583F" w:rsidRPr="00DF583F" w14:paraId="0556CBA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C577475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Воронежская область</w:t>
            </w:r>
          </w:p>
        </w:tc>
        <w:tc>
          <w:tcPr>
            <w:tcW w:w="4394" w:type="dxa"/>
            <w:hideMark/>
          </w:tcPr>
          <w:p w14:paraId="521B88A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DF583F" w:rsidRPr="00DF583F" w14:paraId="4054790E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DCED293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Нижегородская область</w:t>
            </w:r>
          </w:p>
        </w:tc>
        <w:tc>
          <w:tcPr>
            <w:tcW w:w="4394" w:type="dxa"/>
            <w:hideMark/>
          </w:tcPr>
          <w:p w14:paraId="3271519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20,9</w:t>
            </w:r>
          </w:p>
        </w:tc>
      </w:tr>
      <w:tr w:rsidR="00DF583F" w:rsidRPr="00DF583F" w14:paraId="72D99B71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3B4EE73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94" w:type="dxa"/>
            <w:hideMark/>
          </w:tcPr>
          <w:p w14:paraId="4F2C5584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DF583F" w:rsidRPr="00DF583F" w14:paraId="11025426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12D2CD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Тверская область</w:t>
            </w:r>
          </w:p>
        </w:tc>
        <w:tc>
          <w:tcPr>
            <w:tcW w:w="4394" w:type="dxa"/>
            <w:hideMark/>
          </w:tcPr>
          <w:p w14:paraId="5D1F335D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20,6</w:t>
            </w:r>
          </w:p>
        </w:tc>
      </w:tr>
      <w:tr w:rsidR="00DF583F" w:rsidRPr="00DF583F" w14:paraId="09188842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162F5B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Карелия</w:t>
            </w:r>
          </w:p>
        </w:tc>
        <w:tc>
          <w:tcPr>
            <w:tcW w:w="4394" w:type="dxa"/>
            <w:hideMark/>
          </w:tcPr>
          <w:p w14:paraId="6C796B5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19,3</w:t>
            </w:r>
          </w:p>
        </w:tc>
      </w:tr>
      <w:tr w:rsidR="00DF583F" w:rsidRPr="00DF583F" w14:paraId="20C49906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D300BBE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Якутия</w:t>
            </w:r>
          </w:p>
        </w:tc>
        <w:tc>
          <w:tcPr>
            <w:tcW w:w="4394" w:type="dxa"/>
            <w:hideMark/>
          </w:tcPr>
          <w:p w14:paraId="073F419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19,1</w:t>
            </w:r>
          </w:p>
        </w:tc>
      </w:tr>
      <w:tr w:rsidR="00DF583F" w:rsidRPr="00DF583F" w14:paraId="48BF800D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12F3A1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Брянская область</w:t>
            </w:r>
          </w:p>
        </w:tc>
        <w:tc>
          <w:tcPr>
            <w:tcW w:w="4394" w:type="dxa"/>
            <w:hideMark/>
          </w:tcPr>
          <w:p w14:paraId="7BD580E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DF583F" w:rsidRPr="00DF583F" w14:paraId="0C28572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5A0540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</w:tc>
        <w:tc>
          <w:tcPr>
            <w:tcW w:w="4394" w:type="dxa"/>
            <w:hideMark/>
          </w:tcPr>
          <w:p w14:paraId="22C5750E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DF583F" w:rsidRPr="00DF583F" w14:paraId="6367595E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2A44E6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Камчатский край</w:t>
            </w:r>
          </w:p>
        </w:tc>
        <w:tc>
          <w:tcPr>
            <w:tcW w:w="4394" w:type="dxa"/>
            <w:hideMark/>
          </w:tcPr>
          <w:p w14:paraId="7461B4F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18,4</w:t>
            </w:r>
          </w:p>
        </w:tc>
      </w:tr>
      <w:tr w:rsidR="00DF583F" w:rsidRPr="00DF583F" w14:paraId="5DAF1567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EDC5793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Ярославская область</w:t>
            </w:r>
          </w:p>
        </w:tc>
        <w:tc>
          <w:tcPr>
            <w:tcW w:w="4394" w:type="dxa"/>
            <w:hideMark/>
          </w:tcPr>
          <w:p w14:paraId="36184F83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18,4</w:t>
            </w:r>
          </w:p>
        </w:tc>
      </w:tr>
      <w:tr w:rsidR="00DF583F" w:rsidRPr="00DF583F" w14:paraId="25F87007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0D4EED4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Красноярский край</w:t>
            </w:r>
          </w:p>
        </w:tc>
        <w:tc>
          <w:tcPr>
            <w:tcW w:w="4394" w:type="dxa"/>
            <w:hideMark/>
          </w:tcPr>
          <w:p w14:paraId="23DB0FC3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18,2</w:t>
            </w:r>
          </w:p>
        </w:tc>
      </w:tr>
      <w:tr w:rsidR="00DF583F" w:rsidRPr="00DF583F" w14:paraId="59BB3D66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6EE7B4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Амурская область</w:t>
            </w:r>
          </w:p>
        </w:tc>
        <w:tc>
          <w:tcPr>
            <w:tcW w:w="4394" w:type="dxa"/>
            <w:hideMark/>
          </w:tcPr>
          <w:p w14:paraId="45FB6E17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DF583F" w:rsidRPr="00DF583F" w14:paraId="76AE89AC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F2F521C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Владимирская область</w:t>
            </w:r>
          </w:p>
        </w:tc>
        <w:tc>
          <w:tcPr>
            <w:tcW w:w="4394" w:type="dxa"/>
            <w:hideMark/>
          </w:tcPr>
          <w:p w14:paraId="556DF721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17,5</w:t>
            </w:r>
          </w:p>
        </w:tc>
      </w:tr>
      <w:tr w:rsidR="00DF583F" w:rsidRPr="00DF583F" w14:paraId="0EFB657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0E47FC6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Республика Коми</w:t>
            </w:r>
          </w:p>
        </w:tc>
        <w:tc>
          <w:tcPr>
            <w:tcW w:w="4394" w:type="dxa"/>
            <w:hideMark/>
          </w:tcPr>
          <w:p w14:paraId="7906A52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17,2</w:t>
            </w:r>
          </w:p>
        </w:tc>
      </w:tr>
      <w:tr w:rsidR="00DF583F" w:rsidRPr="00DF583F" w14:paraId="2E2FCC9A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D6FA5F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Новосибирская область</w:t>
            </w:r>
          </w:p>
        </w:tc>
        <w:tc>
          <w:tcPr>
            <w:tcW w:w="4394" w:type="dxa"/>
            <w:hideMark/>
          </w:tcPr>
          <w:p w14:paraId="1F3E2575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17,1</w:t>
            </w:r>
          </w:p>
        </w:tc>
      </w:tr>
      <w:tr w:rsidR="00DF583F" w:rsidRPr="00DF583F" w14:paraId="42ECEA25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AC8F447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Сахалинская область</w:t>
            </w:r>
          </w:p>
        </w:tc>
        <w:tc>
          <w:tcPr>
            <w:tcW w:w="4394" w:type="dxa"/>
            <w:hideMark/>
          </w:tcPr>
          <w:p w14:paraId="0A503AD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16,6</w:t>
            </w:r>
          </w:p>
        </w:tc>
      </w:tr>
      <w:tr w:rsidR="00DF583F" w:rsidRPr="00DF583F" w14:paraId="34EEEE24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5DF6A35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Псковская область</w:t>
            </w:r>
          </w:p>
        </w:tc>
        <w:tc>
          <w:tcPr>
            <w:tcW w:w="4394" w:type="dxa"/>
            <w:hideMark/>
          </w:tcPr>
          <w:p w14:paraId="36FA21C9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16,5</w:t>
            </w:r>
          </w:p>
        </w:tc>
      </w:tr>
      <w:tr w:rsidR="00DF583F" w:rsidRPr="00DF583F" w14:paraId="2F8BA40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D32B7EA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Свердловская область</w:t>
            </w:r>
          </w:p>
        </w:tc>
        <w:tc>
          <w:tcPr>
            <w:tcW w:w="4394" w:type="dxa"/>
            <w:hideMark/>
          </w:tcPr>
          <w:p w14:paraId="2DC667D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DF583F" w:rsidRPr="00DF583F" w14:paraId="04DE7AD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B1FE44E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Ленинградская область</w:t>
            </w:r>
          </w:p>
        </w:tc>
        <w:tc>
          <w:tcPr>
            <w:tcW w:w="4394" w:type="dxa"/>
            <w:hideMark/>
          </w:tcPr>
          <w:p w14:paraId="3186365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15,8</w:t>
            </w:r>
          </w:p>
        </w:tc>
      </w:tr>
      <w:tr w:rsidR="00DF583F" w:rsidRPr="00DF583F" w14:paraId="6CCBBC21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61AA95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Липецкая область</w:t>
            </w:r>
          </w:p>
        </w:tc>
        <w:tc>
          <w:tcPr>
            <w:tcW w:w="4394" w:type="dxa"/>
            <w:hideMark/>
          </w:tcPr>
          <w:p w14:paraId="27E08E9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15,6</w:t>
            </w:r>
          </w:p>
        </w:tc>
      </w:tr>
      <w:tr w:rsidR="00DF583F" w:rsidRPr="00DF583F" w14:paraId="2FF82EC0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EFD2670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Магаданская область</w:t>
            </w:r>
          </w:p>
        </w:tc>
        <w:tc>
          <w:tcPr>
            <w:tcW w:w="4394" w:type="dxa"/>
            <w:hideMark/>
          </w:tcPr>
          <w:p w14:paraId="30B8789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15,5</w:t>
            </w:r>
          </w:p>
        </w:tc>
      </w:tr>
      <w:tr w:rsidR="00DF583F" w:rsidRPr="00DF583F" w14:paraId="646959C3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5F263E0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Кемеровская область</w:t>
            </w:r>
          </w:p>
        </w:tc>
        <w:tc>
          <w:tcPr>
            <w:tcW w:w="4394" w:type="dxa"/>
            <w:hideMark/>
          </w:tcPr>
          <w:p w14:paraId="5927BC22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15,1</w:t>
            </w:r>
          </w:p>
        </w:tc>
      </w:tr>
      <w:tr w:rsidR="00DF583F" w:rsidRPr="00DF583F" w14:paraId="50E8052D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38A57FE2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Калужская область</w:t>
            </w:r>
          </w:p>
        </w:tc>
        <w:tc>
          <w:tcPr>
            <w:tcW w:w="4394" w:type="dxa"/>
            <w:hideMark/>
          </w:tcPr>
          <w:p w14:paraId="4027C61C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14,1</w:t>
            </w:r>
          </w:p>
        </w:tc>
      </w:tr>
      <w:tr w:rsidR="00DF583F" w:rsidRPr="00DF583F" w14:paraId="45EB2405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01B637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ЦФО</w:t>
            </w:r>
          </w:p>
        </w:tc>
        <w:tc>
          <w:tcPr>
            <w:tcW w:w="4394" w:type="dxa"/>
            <w:hideMark/>
          </w:tcPr>
          <w:p w14:paraId="65C4B1F0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13,3</w:t>
            </w:r>
          </w:p>
        </w:tc>
      </w:tr>
      <w:tr w:rsidR="00DF583F" w:rsidRPr="00DF583F" w14:paraId="7ED859F4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8D1B9DE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Самарская область</w:t>
            </w:r>
          </w:p>
        </w:tc>
        <w:tc>
          <w:tcPr>
            <w:tcW w:w="4394" w:type="dxa"/>
            <w:hideMark/>
          </w:tcPr>
          <w:p w14:paraId="50D4629F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12,6</w:t>
            </w:r>
          </w:p>
        </w:tc>
      </w:tr>
      <w:tr w:rsidR="00DF583F" w:rsidRPr="00DF583F" w14:paraId="2C50932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CFFF0E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Хабаровский край</w:t>
            </w:r>
          </w:p>
        </w:tc>
        <w:tc>
          <w:tcPr>
            <w:tcW w:w="4394" w:type="dxa"/>
            <w:hideMark/>
          </w:tcPr>
          <w:p w14:paraId="11CACE14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11,8</w:t>
            </w:r>
          </w:p>
        </w:tc>
      </w:tr>
      <w:tr w:rsidR="00DF583F" w:rsidRPr="00DF583F" w14:paraId="059DE380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2A2A40B8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lastRenderedPageBreak/>
              <w:t>Мурманская область</w:t>
            </w:r>
          </w:p>
        </w:tc>
        <w:tc>
          <w:tcPr>
            <w:tcW w:w="4394" w:type="dxa"/>
            <w:hideMark/>
          </w:tcPr>
          <w:p w14:paraId="3201AEDB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10,5</w:t>
            </w:r>
          </w:p>
        </w:tc>
      </w:tr>
      <w:tr w:rsidR="00DF583F" w:rsidRPr="00DF583F" w14:paraId="35C51845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152D541C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Тюменская область</w:t>
            </w:r>
          </w:p>
        </w:tc>
        <w:tc>
          <w:tcPr>
            <w:tcW w:w="4394" w:type="dxa"/>
            <w:hideMark/>
          </w:tcPr>
          <w:p w14:paraId="070068E7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10,1</w:t>
            </w:r>
          </w:p>
        </w:tc>
      </w:tr>
      <w:tr w:rsidR="00DF583F" w:rsidRPr="00DF583F" w14:paraId="57A3EF88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6540EB4D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Московская область</w:t>
            </w:r>
          </w:p>
        </w:tc>
        <w:tc>
          <w:tcPr>
            <w:tcW w:w="4394" w:type="dxa"/>
            <w:hideMark/>
          </w:tcPr>
          <w:p w14:paraId="068FD9D2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10,1</w:t>
            </w:r>
          </w:p>
        </w:tc>
      </w:tr>
      <w:tr w:rsidR="00DF583F" w:rsidRPr="00DF583F" w14:paraId="07F650CC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47290E9F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Чукотский авт. округ</w:t>
            </w:r>
          </w:p>
        </w:tc>
        <w:tc>
          <w:tcPr>
            <w:tcW w:w="4394" w:type="dxa"/>
            <w:hideMark/>
          </w:tcPr>
          <w:p w14:paraId="0D22B7E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DF583F" w:rsidRPr="00DF583F" w14:paraId="7CA5B7DC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0F864BD9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4394" w:type="dxa"/>
            <w:hideMark/>
          </w:tcPr>
          <w:p w14:paraId="2E187DFA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DF583F" w:rsidRPr="00DF583F" w14:paraId="619F1ED9" w14:textId="77777777" w:rsidTr="004E07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  <w:hideMark/>
          </w:tcPr>
          <w:p w14:paraId="7C8B5D2B" w14:textId="77777777" w:rsidR="004717A9" w:rsidRPr="00DF583F" w:rsidRDefault="004717A9" w:rsidP="002D3A8D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г. Санкт-Петербург</w:t>
            </w:r>
          </w:p>
        </w:tc>
        <w:tc>
          <w:tcPr>
            <w:tcW w:w="4394" w:type="dxa"/>
            <w:hideMark/>
          </w:tcPr>
          <w:p w14:paraId="09822A58" w14:textId="77777777" w:rsidR="004717A9" w:rsidRPr="00DF583F" w:rsidRDefault="004717A9" w:rsidP="00DF583F">
            <w:pPr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F583F">
              <w:rPr>
                <w:color w:val="000000" w:themeColor="text1"/>
                <w:sz w:val="20"/>
                <w:szCs w:val="20"/>
              </w:rPr>
              <w:t>2,9</w:t>
            </w:r>
          </w:p>
        </w:tc>
      </w:tr>
    </w:tbl>
    <w:p w14:paraId="306F6378" w14:textId="77777777" w:rsidR="006F6F09" w:rsidRDefault="006F6F09" w:rsidP="006F6F09">
      <w:pPr>
        <w:spacing w:before="240"/>
      </w:pPr>
    </w:p>
    <w:p w14:paraId="3C47B701" w14:textId="77777777" w:rsidR="004717A9" w:rsidRPr="003E25BC" w:rsidRDefault="006F6F09" w:rsidP="006F6F09">
      <w:pPr>
        <w:spacing w:before="240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</w:rPr>
        <w:t>Во-вторых, н</w:t>
      </w:r>
      <w:r w:rsidR="00837A71" w:rsidRPr="003E25BC">
        <w:rPr>
          <w:rFonts w:ascii="Times New Roman" w:hAnsi="Times New Roman" w:cs="Times New Roman"/>
          <w:b/>
        </w:rPr>
        <w:t>изкий уровень зарплат</w:t>
      </w:r>
      <w:r w:rsidR="004F0DA4" w:rsidRPr="003E25BC">
        <w:rPr>
          <w:rFonts w:ascii="Times New Roman" w:hAnsi="Times New Roman" w:cs="Times New Roman"/>
        </w:rPr>
        <w:t>,</w:t>
      </w:r>
      <w:r w:rsidR="00837A71" w:rsidRPr="003E25BC">
        <w:rPr>
          <w:rFonts w:ascii="Times New Roman" w:hAnsi="Times New Roman" w:cs="Times New Roman"/>
        </w:rPr>
        <w:t xml:space="preserve"> </w:t>
      </w:r>
      <w:r w:rsidR="00DF583F" w:rsidRPr="003E25BC">
        <w:rPr>
          <w:rFonts w:ascii="Times New Roman" w:hAnsi="Times New Roman" w:cs="Times New Roman"/>
        </w:rPr>
        <w:t xml:space="preserve">из-за </w:t>
      </w:r>
      <w:r w:rsidR="004F0DA4" w:rsidRPr="003E25BC">
        <w:rPr>
          <w:rFonts w:ascii="Times New Roman" w:hAnsi="Times New Roman" w:cs="Times New Roman"/>
        </w:rPr>
        <w:t>которого</w:t>
      </w:r>
      <w:r w:rsidR="00DF583F" w:rsidRPr="003E25BC">
        <w:rPr>
          <w:rFonts w:ascii="Times New Roman" w:hAnsi="Times New Roman" w:cs="Times New Roman"/>
        </w:rPr>
        <w:t xml:space="preserve"> пенсионная система России не получает достаточного объема взносов для обеспечения приемлемого уровня выплат пенсионерам</w:t>
      </w:r>
      <w:r w:rsidR="00837A71" w:rsidRPr="003E25BC">
        <w:rPr>
          <w:rFonts w:ascii="Times New Roman" w:hAnsi="Times New Roman" w:cs="Times New Roman"/>
        </w:rPr>
        <w:t>. В</w:t>
      </w:r>
      <w:r w:rsidR="004717A9" w:rsidRPr="003E25BC">
        <w:rPr>
          <w:rFonts w:ascii="Times New Roman" w:hAnsi="Times New Roman" w:cs="Times New Roman"/>
        </w:rPr>
        <w:t xml:space="preserve"> 2015 г. доля работников, </w:t>
      </w:r>
      <w:proofErr w:type="gramStart"/>
      <w:r w:rsidR="004717A9" w:rsidRPr="003E25BC">
        <w:rPr>
          <w:rFonts w:ascii="Times New Roman" w:hAnsi="Times New Roman" w:cs="Times New Roman"/>
        </w:rPr>
        <w:t>отчисления</w:t>
      </w:r>
      <w:proofErr w:type="gramEnd"/>
      <w:r w:rsidR="004717A9" w:rsidRPr="003E25BC">
        <w:rPr>
          <w:rFonts w:ascii="Times New Roman" w:hAnsi="Times New Roman" w:cs="Times New Roman"/>
        </w:rPr>
        <w:t xml:space="preserve"> от зарплаты которых в ПФР были ниже прожиточного минимума пенсионера, составляла 68,9%. </w:t>
      </w:r>
    </w:p>
    <w:p w14:paraId="264474FC" w14:textId="77777777" w:rsidR="004717A9" w:rsidRPr="003E25BC" w:rsidRDefault="004717A9" w:rsidP="004717A9">
      <w:pPr>
        <w:rPr>
          <w:rFonts w:ascii="Times New Roman" w:hAnsi="Times New Roman" w:cs="Times New Roman"/>
        </w:rPr>
      </w:pPr>
    </w:p>
    <w:p w14:paraId="2B48B64C" w14:textId="77777777" w:rsidR="004717A9" w:rsidRPr="003E25BC" w:rsidRDefault="004717A9" w:rsidP="005D7A0D">
      <w:pPr>
        <w:keepNext/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t>Рис. 2. Численность населения с денежными доходами ниже величины прожиточного минимума за 2010-2015 гг.</w:t>
      </w:r>
      <w:r w:rsidRPr="003E25BC">
        <w:rPr>
          <w:rFonts w:ascii="Times New Roman" w:hAnsi="Times New Roman" w:cs="Times New Roman"/>
          <w:b/>
          <w:vertAlign w:val="superscript"/>
        </w:rPr>
        <w:footnoteReference w:id="7"/>
      </w:r>
    </w:p>
    <w:p w14:paraId="1F8657C7" w14:textId="77777777" w:rsidR="002D3A8D" w:rsidRPr="004717A9" w:rsidRDefault="002D3A8D" w:rsidP="004717A9">
      <w:r w:rsidRPr="002D3A8D">
        <w:rPr>
          <w:noProof/>
          <w:color w:val="000000" w:themeColor="text1"/>
        </w:rPr>
        <w:drawing>
          <wp:inline distT="0" distB="0" distL="0" distR="0" wp14:anchorId="68337997" wp14:editId="19CC7996">
            <wp:extent cx="6146165" cy="2417196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E242C8" w14:textId="7777777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Источник: Росстат </w:t>
      </w:r>
    </w:p>
    <w:p w14:paraId="2628FC87" w14:textId="77777777" w:rsidR="00420962" w:rsidRPr="003E25BC" w:rsidRDefault="006F6F09" w:rsidP="006F6F09">
      <w:pPr>
        <w:spacing w:before="240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</w:rPr>
        <w:t>В-третьих, с</w:t>
      </w:r>
      <w:r w:rsidR="00420962" w:rsidRPr="003E25BC">
        <w:rPr>
          <w:rFonts w:ascii="Times New Roman" w:hAnsi="Times New Roman" w:cs="Times New Roman"/>
          <w:b/>
        </w:rPr>
        <w:t>нижение доли трудоспособного населения</w:t>
      </w:r>
      <w:r w:rsidR="00420962" w:rsidRPr="003E25BC">
        <w:rPr>
          <w:rFonts w:ascii="Times New Roman" w:hAnsi="Times New Roman" w:cs="Times New Roman"/>
        </w:rPr>
        <w:t xml:space="preserve">. </w:t>
      </w:r>
      <w:r w:rsidR="005A66EE" w:rsidRPr="003E25BC">
        <w:rPr>
          <w:rFonts w:ascii="Times New Roman" w:hAnsi="Times New Roman" w:cs="Times New Roman"/>
        </w:rPr>
        <w:t>На 1 января 2016 года доля населения в возрасте старше 60 лет в России составила 20%. По данным Росстата</w:t>
      </w:r>
      <w:r w:rsidR="009B6C04" w:rsidRPr="003E25BC">
        <w:rPr>
          <w:rFonts w:ascii="Times New Roman" w:hAnsi="Times New Roman" w:cs="Times New Roman"/>
        </w:rPr>
        <w:t xml:space="preserve"> в 2015 г.</w:t>
      </w:r>
      <w:r w:rsidR="005A66EE" w:rsidRPr="003E25BC">
        <w:rPr>
          <w:rFonts w:ascii="Times New Roman" w:hAnsi="Times New Roman" w:cs="Times New Roman"/>
        </w:rPr>
        <w:t xml:space="preserve"> доля населения старше трудоспособного возраста </w:t>
      </w:r>
      <w:r w:rsidR="009B6C04" w:rsidRPr="003E25BC">
        <w:rPr>
          <w:rFonts w:ascii="Times New Roman" w:hAnsi="Times New Roman" w:cs="Times New Roman"/>
        </w:rPr>
        <w:t xml:space="preserve">составила 24%. По стандартам ООН российское общество на 2016 год уже считается </w:t>
      </w:r>
      <w:proofErr w:type="gramStart"/>
      <w:r w:rsidR="009B6C04" w:rsidRPr="003E25BC">
        <w:rPr>
          <w:rFonts w:ascii="Times New Roman" w:hAnsi="Times New Roman" w:cs="Times New Roman"/>
        </w:rPr>
        <w:t>старым</w:t>
      </w:r>
      <w:proofErr w:type="gramEnd"/>
      <w:r w:rsidR="009B6C04" w:rsidRPr="003E25BC">
        <w:rPr>
          <w:rFonts w:ascii="Times New Roman" w:hAnsi="Times New Roman" w:cs="Times New Roman"/>
        </w:rPr>
        <w:t xml:space="preserve"> и данная тенденция будет усугубляться с течением времени.</w:t>
      </w:r>
      <w:r w:rsidR="00420962" w:rsidRPr="003E25BC">
        <w:rPr>
          <w:rFonts w:ascii="Times New Roman" w:hAnsi="Times New Roman" w:cs="Times New Roman"/>
        </w:rPr>
        <w:t xml:space="preserve"> </w:t>
      </w:r>
      <w:proofErr w:type="gramStart"/>
      <w:r w:rsidR="00420962" w:rsidRPr="003E25BC">
        <w:rPr>
          <w:rFonts w:ascii="Times New Roman" w:hAnsi="Times New Roman" w:cs="Times New Roman"/>
        </w:rPr>
        <w:t>По словам первого зампреда ЦБ РФ Ксении Юдаевой, трудоспособное население России ежегодно сокращается на 900 тыс. человек</w:t>
      </w:r>
      <w:r w:rsidR="00420962" w:rsidRPr="003E25BC">
        <w:rPr>
          <w:rFonts w:ascii="Times New Roman" w:hAnsi="Times New Roman" w:cs="Times New Roman"/>
          <w:vertAlign w:val="superscript"/>
        </w:rPr>
        <w:footnoteReference w:id="8"/>
      </w:r>
      <w:r w:rsidR="00420962" w:rsidRPr="003E25BC">
        <w:rPr>
          <w:rFonts w:ascii="Times New Roman" w:hAnsi="Times New Roman" w:cs="Times New Roman"/>
        </w:rPr>
        <w:t xml:space="preserve">. Это в сочетании с увеличением продолжительности жизни россиян приводит к росту коэффициента демографической нагрузки, который, согласно среднему варианту демографического </w:t>
      </w:r>
      <w:r w:rsidR="00420962" w:rsidRPr="003E25BC">
        <w:rPr>
          <w:rFonts w:ascii="Times New Roman" w:hAnsi="Times New Roman" w:cs="Times New Roman"/>
        </w:rPr>
        <w:lastRenderedPageBreak/>
        <w:t>прогноза Росстата до 2030 г., вырастет с 764 человек нетрудоспособного возраста на 1000 лиц трудоспособного возраста до 857 человек.</w:t>
      </w:r>
      <w:proofErr w:type="gramEnd"/>
    </w:p>
    <w:p w14:paraId="0D6C82EA" w14:textId="77777777" w:rsidR="004717A9" w:rsidRPr="003E25BC" w:rsidRDefault="004717A9" w:rsidP="005D7A0D">
      <w:pPr>
        <w:keepNext/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t>Рис. 3. Доля численности населения России в возрасте старше трудоспособного</w:t>
      </w:r>
      <w:r w:rsidRPr="003E25BC">
        <w:rPr>
          <w:rFonts w:ascii="Times New Roman" w:hAnsi="Times New Roman" w:cs="Times New Roman"/>
          <w:b/>
          <w:vertAlign w:val="superscript"/>
        </w:rPr>
        <w:footnoteReference w:id="9"/>
      </w:r>
      <w:r w:rsidRPr="003E25BC">
        <w:rPr>
          <w:rFonts w:ascii="Times New Roman" w:hAnsi="Times New Roman" w:cs="Times New Roman"/>
          <w:b/>
        </w:rPr>
        <w:t xml:space="preserve"> во всем населении за 20</w:t>
      </w:r>
      <w:r w:rsidR="009B6C04" w:rsidRPr="003E25BC">
        <w:rPr>
          <w:rFonts w:ascii="Times New Roman" w:hAnsi="Times New Roman" w:cs="Times New Roman"/>
          <w:b/>
        </w:rPr>
        <w:t>10</w:t>
      </w:r>
      <w:r w:rsidRPr="003E25BC">
        <w:rPr>
          <w:rFonts w:ascii="Times New Roman" w:hAnsi="Times New Roman" w:cs="Times New Roman"/>
          <w:b/>
        </w:rPr>
        <w:t>-2015 гг.</w:t>
      </w:r>
      <w:r w:rsidRPr="003E25BC">
        <w:rPr>
          <w:rFonts w:ascii="Times New Roman" w:hAnsi="Times New Roman" w:cs="Times New Roman"/>
          <w:b/>
          <w:vertAlign w:val="superscript"/>
        </w:rPr>
        <w:footnoteReference w:id="10"/>
      </w:r>
    </w:p>
    <w:p w14:paraId="16E70382" w14:textId="77777777" w:rsidR="009B6C04" w:rsidRPr="009B6C04" w:rsidRDefault="009B6C04" w:rsidP="004717A9">
      <w:pPr>
        <w:rPr>
          <w:b/>
        </w:rPr>
      </w:pPr>
      <w:r w:rsidRPr="005D7A0D">
        <w:rPr>
          <w:noProof/>
          <w:color w:val="000000" w:themeColor="text1"/>
          <w:shd w:val="clear" w:color="auto" w:fill="5F497A" w:themeFill="accent4" w:themeFillShade="BF"/>
        </w:rPr>
        <w:drawing>
          <wp:inline distT="0" distB="0" distL="0" distR="0" wp14:anchorId="54614044" wp14:editId="31EB4333">
            <wp:extent cx="6146165" cy="333159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7E440E" w14:textId="7777777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Источник: Росстат </w:t>
      </w:r>
    </w:p>
    <w:p w14:paraId="02059EE9" w14:textId="77777777" w:rsidR="004717A9" w:rsidRPr="003E25BC" w:rsidRDefault="004717A9" w:rsidP="00D31649">
      <w:pPr>
        <w:keepNext/>
        <w:spacing w:before="120"/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lastRenderedPageBreak/>
        <w:t xml:space="preserve">Рис. </w:t>
      </w:r>
      <w:r w:rsidR="007E47D1" w:rsidRPr="003E25BC">
        <w:rPr>
          <w:rFonts w:ascii="Times New Roman" w:hAnsi="Times New Roman" w:cs="Times New Roman"/>
          <w:b/>
        </w:rPr>
        <w:t>4</w:t>
      </w:r>
      <w:r w:rsidRPr="003E25BC">
        <w:rPr>
          <w:rFonts w:ascii="Times New Roman" w:hAnsi="Times New Roman" w:cs="Times New Roman"/>
          <w:b/>
        </w:rPr>
        <w:t>. Динамика коэффициента демографической нагрузки</w:t>
      </w:r>
    </w:p>
    <w:p w14:paraId="2CAE119C" w14:textId="77777777" w:rsidR="004717A9" w:rsidRPr="004717A9" w:rsidRDefault="004717A9" w:rsidP="004717A9">
      <w:pPr>
        <w:rPr>
          <w:rFonts w:ascii="Times New Roman" w:hAnsi="Times New Roman"/>
        </w:rPr>
      </w:pPr>
      <w:r w:rsidRPr="004717A9">
        <w:rPr>
          <w:noProof/>
        </w:rPr>
        <w:drawing>
          <wp:inline distT="0" distB="0" distL="0" distR="0" wp14:anchorId="297DD4D8" wp14:editId="5B5B29B9">
            <wp:extent cx="5915025" cy="3046730"/>
            <wp:effectExtent l="0" t="0" r="0" b="1270"/>
            <wp:docPr id="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E653A9" w14:textId="7777777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Источник: Росстат</w:t>
      </w:r>
    </w:p>
    <w:p w14:paraId="1B24378A" w14:textId="77777777" w:rsidR="004717A9" w:rsidRPr="003E25BC" w:rsidRDefault="006F6F0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</w:rPr>
        <w:t>В четвертых,</w:t>
      </w:r>
      <w:r w:rsidRPr="003E25BC">
        <w:rPr>
          <w:rFonts w:ascii="Times New Roman" w:hAnsi="Times New Roman" w:cs="Times New Roman"/>
        </w:rPr>
        <w:t xml:space="preserve"> </w:t>
      </w:r>
      <w:r w:rsidR="007E47D1" w:rsidRPr="003E25BC">
        <w:rPr>
          <w:rFonts w:ascii="Times New Roman" w:hAnsi="Times New Roman" w:cs="Times New Roman"/>
        </w:rPr>
        <w:t xml:space="preserve">одной причиной превышения расходов ПФР над его доходами является </w:t>
      </w:r>
      <w:r w:rsidR="007E47D1" w:rsidRPr="003E25BC">
        <w:rPr>
          <w:rFonts w:ascii="Times New Roman" w:hAnsi="Times New Roman" w:cs="Times New Roman"/>
          <w:b/>
        </w:rPr>
        <w:t>большой объем льгот по уплате взносов для ряда отраслей и регионов</w:t>
      </w:r>
      <w:r w:rsidR="007E47D1" w:rsidRPr="003E25BC">
        <w:rPr>
          <w:rFonts w:ascii="Times New Roman" w:hAnsi="Times New Roman" w:cs="Times New Roman"/>
        </w:rPr>
        <w:t>, в частности, по выплате досрочных пенсий: по словам замглавы ПФР Николая Козлова</w:t>
      </w:r>
      <w:r w:rsidR="007E47D1" w:rsidRPr="003E25BC">
        <w:rPr>
          <w:rFonts w:ascii="Times New Roman" w:hAnsi="Times New Roman" w:cs="Times New Roman"/>
          <w:vertAlign w:val="superscript"/>
        </w:rPr>
        <w:footnoteReference w:id="11"/>
      </w:r>
      <w:r w:rsidR="007E47D1" w:rsidRPr="003E25BC">
        <w:rPr>
          <w:rFonts w:ascii="Times New Roman" w:hAnsi="Times New Roman" w:cs="Times New Roman"/>
        </w:rPr>
        <w:t xml:space="preserve">, примерно треть участников пенсионной системы получают досрочные пенсии. </w:t>
      </w:r>
      <w:proofErr w:type="gramStart"/>
      <w:r w:rsidR="007E47D1" w:rsidRPr="003E25BC">
        <w:rPr>
          <w:rFonts w:ascii="Times New Roman" w:hAnsi="Times New Roman" w:cs="Times New Roman"/>
        </w:rPr>
        <w:t>По мнению чиновника, пенсии людям, работающим в сложных условиях, в том числе в нефтяной, газовой, горнорудной промышленностях, должны формироваться за счет компаний, сотрудниками которых они являются.</w:t>
      </w:r>
      <w:proofErr w:type="gramEnd"/>
      <w:r w:rsidRPr="003E25BC">
        <w:rPr>
          <w:rFonts w:ascii="Times New Roman" w:hAnsi="Times New Roman" w:cs="Times New Roman"/>
        </w:rPr>
        <w:t xml:space="preserve"> </w:t>
      </w:r>
      <w:r w:rsidR="007E47D1" w:rsidRPr="003E25BC">
        <w:rPr>
          <w:rFonts w:ascii="Times New Roman" w:hAnsi="Times New Roman" w:cs="Times New Roman"/>
          <w:b/>
        </w:rPr>
        <w:t xml:space="preserve">К </w:t>
      </w:r>
      <w:r w:rsidR="004717A9" w:rsidRPr="003E25BC">
        <w:rPr>
          <w:rFonts w:ascii="Times New Roman" w:hAnsi="Times New Roman" w:cs="Times New Roman"/>
          <w:b/>
        </w:rPr>
        <w:t xml:space="preserve">2050 г. государственные расходы, связанные с пенсиями, могут вырасти до 19% ВВП </w:t>
      </w:r>
      <w:proofErr w:type="gramStart"/>
      <w:r w:rsidR="004717A9" w:rsidRPr="003E25BC">
        <w:rPr>
          <w:rFonts w:ascii="Times New Roman" w:hAnsi="Times New Roman" w:cs="Times New Roman"/>
          <w:b/>
        </w:rPr>
        <w:t>против</w:t>
      </w:r>
      <w:proofErr w:type="gramEnd"/>
      <w:r w:rsidR="004717A9" w:rsidRPr="003E25BC">
        <w:rPr>
          <w:rFonts w:ascii="Times New Roman" w:hAnsi="Times New Roman" w:cs="Times New Roman"/>
          <w:b/>
        </w:rPr>
        <w:t xml:space="preserve"> текущих 13%. </w:t>
      </w:r>
    </w:p>
    <w:p w14:paraId="57736500" w14:textId="77777777" w:rsidR="006F6F09" w:rsidRPr="003E25BC" w:rsidRDefault="006F6F09" w:rsidP="004717A9">
      <w:pPr>
        <w:rPr>
          <w:rFonts w:ascii="Times New Roman" w:hAnsi="Times New Roman" w:cs="Times New Roman"/>
        </w:rPr>
      </w:pPr>
    </w:p>
    <w:p w14:paraId="00F68FDD" w14:textId="3639E5D7" w:rsidR="004717A9" w:rsidRPr="003E25BC" w:rsidRDefault="004717A9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Совокупность внутренних проблем пенсионной системы может привести к снижению коэффициента замещения пенсией утраченного заработка, росту социальной напряженности, а также повышенной нагрузке на федеральный бюджет. </w:t>
      </w:r>
      <w:proofErr w:type="gramStart"/>
      <w:r w:rsidRPr="003E25BC">
        <w:rPr>
          <w:rFonts w:ascii="Times New Roman" w:hAnsi="Times New Roman" w:cs="Times New Roman"/>
        </w:rPr>
        <w:t xml:space="preserve">Так, в исследовании проблем реформирования пенсионной системы в России, проведенном Центром социальной политики </w:t>
      </w:r>
      <w:proofErr w:type="spellStart"/>
      <w:r w:rsidRPr="003E25BC">
        <w:rPr>
          <w:rFonts w:ascii="Times New Roman" w:hAnsi="Times New Roman" w:cs="Times New Roman"/>
        </w:rPr>
        <w:t>РАНХиГС</w:t>
      </w:r>
      <w:proofErr w:type="spellEnd"/>
      <w:r w:rsidRPr="003E25BC">
        <w:rPr>
          <w:rFonts w:ascii="Times New Roman" w:hAnsi="Times New Roman" w:cs="Times New Roman"/>
          <w:vertAlign w:val="superscript"/>
        </w:rPr>
        <w:footnoteReference w:id="12"/>
      </w:r>
      <w:r w:rsidRPr="003E25BC">
        <w:rPr>
          <w:rFonts w:ascii="Times New Roman" w:hAnsi="Times New Roman" w:cs="Times New Roman"/>
        </w:rPr>
        <w:t xml:space="preserve">, отмечается, что при неизменности текущего пенсионного законодательства коэффициент замещения для трудовых пенсий существенно сокращается </w:t>
      </w:r>
      <w:r w:rsidR="008519F8" w:rsidRPr="003E25BC">
        <w:rPr>
          <w:rFonts w:ascii="Times New Roman" w:hAnsi="Times New Roman" w:cs="Times New Roman"/>
          <w:color w:val="000000" w:themeColor="text1"/>
        </w:rPr>
        <w:t xml:space="preserve">и </w:t>
      </w:r>
      <w:r w:rsidRPr="003E25BC">
        <w:rPr>
          <w:rFonts w:ascii="Times New Roman" w:hAnsi="Times New Roman" w:cs="Times New Roman"/>
          <w:color w:val="000000" w:themeColor="text1"/>
        </w:rPr>
        <w:t xml:space="preserve">в период с </w:t>
      </w:r>
      <w:r w:rsidR="008519F8" w:rsidRPr="003E25BC">
        <w:rPr>
          <w:rFonts w:ascii="Times New Roman" w:hAnsi="Times New Roman" w:cs="Times New Roman"/>
          <w:color w:val="000000" w:themeColor="text1"/>
        </w:rPr>
        <w:t>2022 по 2030 гг. опустится</w:t>
      </w:r>
      <w:r w:rsidRPr="003E25BC">
        <w:rPr>
          <w:rFonts w:ascii="Times New Roman" w:hAnsi="Times New Roman" w:cs="Times New Roman"/>
          <w:color w:val="000000" w:themeColor="text1"/>
        </w:rPr>
        <w:t xml:space="preserve"> ниже </w:t>
      </w:r>
      <w:r w:rsidRPr="003E25BC">
        <w:rPr>
          <w:rFonts w:ascii="Times New Roman" w:hAnsi="Times New Roman" w:cs="Times New Roman"/>
        </w:rPr>
        <w:t>30%, начиная с 2022 г. При этом было показано, что динамика коэффициента замещения существенным образом зависит от темпов индексации страховой части трудовой</w:t>
      </w:r>
      <w:proofErr w:type="gramEnd"/>
      <w:r w:rsidRPr="003E25BC">
        <w:rPr>
          <w:rFonts w:ascii="Times New Roman" w:hAnsi="Times New Roman" w:cs="Times New Roman"/>
        </w:rPr>
        <w:t xml:space="preserve"> пенсии. В случае применения пониженной индексации страховой части трудовой пенсии значительно снижается коэффициент замещения и дефицит распределительной составляющей пенсионной системы.</w:t>
      </w:r>
    </w:p>
    <w:p w14:paraId="41BF015C" w14:textId="77777777" w:rsidR="00853C8D" w:rsidRPr="003E25BC" w:rsidRDefault="00853C8D" w:rsidP="00853C8D">
      <w:pPr>
        <w:pStyle w:val="2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lastRenderedPageBreak/>
        <w:t xml:space="preserve">Перспективы развития накопительной пенсионной системы </w:t>
      </w:r>
    </w:p>
    <w:p w14:paraId="57A3F2E3" w14:textId="75A083AB" w:rsidR="00853C8D" w:rsidRPr="003E25BC" w:rsidRDefault="00992953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В</w:t>
      </w:r>
      <w:r w:rsidR="00853C8D" w:rsidRPr="003E25BC">
        <w:rPr>
          <w:rFonts w:ascii="Times New Roman" w:hAnsi="Times New Roman" w:cs="Times New Roman"/>
        </w:rPr>
        <w:t xml:space="preserve">ведение дополнительного </w:t>
      </w:r>
      <w:r w:rsidRPr="003E25BC">
        <w:rPr>
          <w:rFonts w:ascii="Times New Roman" w:hAnsi="Times New Roman" w:cs="Times New Roman"/>
        </w:rPr>
        <w:t>обременения доходов граждан в целях формирования пенсии вряд ли найдёт отклик у граждан</w:t>
      </w:r>
      <w:r w:rsidR="006800DA" w:rsidRPr="003E25BC">
        <w:rPr>
          <w:rFonts w:ascii="Times New Roman" w:hAnsi="Times New Roman" w:cs="Times New Roman"/>
        </w:rPr>
        <w:t xml:space="preserve"> из-за низкого снижения уровня благосостояния</w:t>
      </w:r>
      <w:r w:rsidR="00853C8D" w:rsidRPr="003E25BC">
        <w:rPr>
          <w:rFonts w:ascii="Times New Roman" w:hAnsi="Times New Roman" w:cs="Times New Roman"/>
        </w:rPr>
        <w:t xml:space="preserve"> и в связи с низкой склонностью к сбережениям большинства российских домохозяйств.</w:t>
      </w:r>
    </w:p>
    <w:p w14:paraId="47A9C322" w14:textId="77777777" w:rsidR="00853C8D" w:rsidRPr="003E25BC" w:rsidRDefault="00853C8D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По данным Росстата, реальная среднемесячная начисленная зарплата россиян снизилась за 2015 г. на 10,2%. </w:t>
      </w:r>
    </w:p>
    <w:p w14:paraId="56AFD2EE" w14:textId="77777777" w:rsidR="00853C8D" w:rsidRPr="003E25BC" w:rsidRDefault="00853C8D" w:rsidP="00D31649">
      <w:pPr>
        <w:keepNext/>
        <w:spacing w:before="120"/>
        <w:rPr>
          <w:rFonts w:ascii="Times New Roman" w:hAnsi="Times New Roman" w:cs="Times New Roman"/>
          <w:b/>
        </w:rPr>
      </w:pPr>
      <w:r w:rsidRPr="003E25BC">
        <w:rPr>
          <w:rFonts w:ascii="Times New Roman" w:hAnsi="Times New Roman" w:cs="Times New Roman"/>
          <w:b/>
        </w:rPr>
        <w:t xml:space="preserve">Рис. </w:t>
      </w:r>
      <w:r w:rsidR="000F4EF6" w:rsidRPr="003E25BC">
        <w:rPr>
          <w:rFonts w:ascii="Times New Roman" w:hAnsi="Times New Roman" w:cs="Times New Roman"/>
          <w:b/>
        </w:rPr>
        <w:t>5</w:t>
      </w:r>
      <w:r w:rsidRPr="003E25BC">
        <w:rPr>
          <w:rFonts w:ascii="Times New Roman" w:hAnsi="Times New Roman" w:cs="Times New Roman"/>
          <w:b/>
        </w:rPr>
        <w:t>. Динамика реальных располагаемых доходов по Российской Федерации (</w:t>
      </w:r>
      <w:proofErr w:type="gramStart"/>
      <w:r w:rsidRPr="003E25BC">
        <w:rPr>
          <w:rFonts w:ascii="Times New Roman" w:hAnsi="Times New Roman" w:cs="Times New Roman"/>
          <w:b/>
        </w:rPr>
        <w:t>в</w:t>
      </w:r>
      <w:proofErr w:type="gramEnd"/>
      <w:r w:rsidRPr="003E25BC">
        <w:rPr>
          <w:rFonts w:ascii="Times New Roman" w:hAnsi="Times New Roman" w:cs="Times New Roman"/>
          <w:b/>
        </w:rPr>
        <w:t xml:space="preserve"> % к соответствующему периоду прошлого года).</w:t>
      </w:r>
    </w:p>
    <w:p w14:paraId="323BDDA9" w14:textId="77777777" w:rsidR="00853C8D" w:rsidRPr="00853C8D" w:rsidRDefault="00853C8D" w:rsidP="00853C8D">
      <w:pPr>
        <w:rPr>
          <w:rFonts w:ascii="Times New Roman" w:hAnsi="Times New Roman" w:cs="Times New Roman"/>
          <w:sz w:val="24"/>
        </w:rPr>
      </w:pPr>
      <w:r w:rsidRPr="00853C8D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35C9471" wp14:editId="21B7A505">
            <wp:extent cx="6000750" cy="3607099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87" cy="361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7722" w14:textId="77777777" w:rsidR="00853C8D" w:rsidRPr="003E25BC" w:rsidRDefault="00853C8D" w:rsidP="00853C8D">
      <w:pPr>
        <w:spacing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E25BC">
        <w:rPr>
          <w:rFonts w:ascii="Times New Roman" w:hAnsi="Times New Roman" w:cs="Times New Roman"/>
          <w:color w:val="808080"/>
          <w:sz w:val="20"/>
          <w:szCs w:val="20"/>
        </w:rPr>
        <w:t>Источник: Росстат</w:t>
      </w:r>
    </w:p>
    <w:p w14:paraId="28EE2BEB" w14:textId="77777777" w:rsidR="006F6F09" w:rsidRPr="003E25BC" w:rsidRDefault="006F6F09" w:rsidP="00853C8D">
      <w:pPr>
        <w:rPr>
          <w:rFonts w:ascii="Times New Roman" w:hAnsi="Times New Roman" w:cs="Times New Roman"/>
        </w:rPr>
      </w:pPr>
    </w:p>
    <w:p w14:paraId="5417A4AC" w14:textId="77777777" w:rsidR="00853C8D" w:rsidRPr="003E25BC" w:rsidRDefault="00853C8D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Согласно результатам опроса Аналитического центра НАФИ,</w:t>
      </w:r>
      <w:r w:rsidR="005A1D0F" w:rsidRPr="003E25BC">
        <w:rPr>
          <w:rFonts w:ascii="Times New Roman" w:hAnsi="Times New Roman" w:cs="Times New Roman"/>
        </w:rPr>
        <w:t xml:space="preserve"> </w:t>
      </w:r>
      <w:r w:rsidR="00641443" w:rsidRPr="003E25BC">
        <w:rPr>
          <w:rFonts w:ascii="Times New Roman" w:hAnsi="Times New Roman" w:cs="Times New Roman"/>
        </w:rPr>
        <w:t>проведённого в марте 2016 г.</w:t>
      </w:r>
      <w:r w:rsidRPr="003E25BC">
        <w:rPr>
          <w:rFonts w:ascii="Times New Roman" w:hAnsi="Times New Roman" w:cs="Times New Roman"/>
        </w:rPr>
        <w:t xml:space="preserve"> </w:t>
      </w:r>
      <w:r w:rsidR="00D31649" w:rsidRPr="003E25BC">
        <w:rPr>
          <w:rFonts w:ascii="Times New Roman" w:hAnsi="Times New Roman" w:cs="Times New Roman"/>
        </w:rPr>
        <w:t>подавляющее большинство россиян</w:t>
      </w:r>
      <w:r w:rsidRPr="003E25BC">
        <w:rPr>
          <w:rFonts w:ascii="Times New Roman" w:hAnsi="Times New Roman" w:cs="Times New Roman"/>
        </w:rPr>
        <w:t xml:space="preserve"> (73%) не имеет накоплений</w:t>
      </w:r>
      <w:r w:rsidR="007879AB" w:rsidRPr="003E25BC">
        <w:rPr>
          <w:rFonts w:ascii="Times New Roman" w:hAnsi="Times New Roman" w:cs="Times New Roman"/>
        </w:rPr>
        <w:t xml:space="preserve"> и каждый третий </w:t>
      </w:r>
      <w:r w:rsidR="005A1D0F" w:rsidRPr="003E25BC">
        <w:rPr>
          <w:rFonts w:ascii="Times New Roman" w:hAnsi="Times New Roman" w:cs="Times New Roman"/>
        </w:rPr>
        <w:t xml:space="preserve">(35%) </w:t>
      </w:r>
      <w:r w:rsidR="007879AB" w:rsidRPr="003E25BC">
        <w:rPr>
          <w:rFonts w:ascii="Times New Roman" w:hAnsi="Times New Roman" w:cs="Times New Roman"/>
        </w:rPr>
        <w:t>полагает, что сейчас не лучшее для этого время.</w:t>
      </w:r>
      <w:r w:rsidRPr="003E25BC">
        <w:rPr>
          <w:rFonts w:ascii="Times New Roman" w:hAnsi="Times New Roman" w:cs="Times New Roman"/>
        </w:rPr>
        <w:t xml:space="preserve"> </w:t>
      </w:r>
      <w:r w:rsidR="00641443" w:rsidRPr="003E25BC">
        <w:rPr>
          <w:rFonts w:ascii="Times New Roman" w:hAnsi="Times New Roman" w:cs="Times New Roman"/>
        </w:rPr>
        <w:t xml:space="preserve">По словам </w:t>
      </w:r>
      <w:proofErr w:type="gramStart"/>
      <w:r w:rsidR="00641443" w:rsidRPr="003E25BC">
        <w:rPr>
          <w:rFonts w:ascii="Times New Roman" w:hAnsi="Times New Roman" w:cs="Times New Roman"/>
        </w:rPr>
        <w:t>генерального</w:t>
      </w:r>
      <w:proofErr w:type="gramEnd"/>
      <w:r w:rsidR="00641443" w:rsidRPr="003E25BC">
        <w:rPr>
          <w:rFonts w:ascii="Times New Roman" w:hAnsi="Times New Roman" w:cs="Times New Roman"/>
        </w:rPr>
        <w:t xml:space="preserve"> директора НАФИ, </w:t>
      </w:r>
      <w:proofErr w:type="spellStart"/>
      <w:r w:rsidR="00641443" w:rsidRPr="003E25BC">
        <w:rPr>
          <w:rFonts w:ascii="Times New Roman" w:hAnsi="Times New Roman" w:cs="Times New Roman"/>
        </w:rPr>
        <w:t>Гузелии</w:t>
      </w:r>
      <w:proofErr w:type="spellEnd"/>
      <w:r w:rsidR="00641443" w:rsidRPr="003E25BC">
        <w:rPr>
          <w:rFonts w:ascii="Times New Roman" w:hAnsi="Times New Roman" w:cs="Times New Roman"/>
        </w:rPr>
        <w:t xml:space="preserve"> </w:t>
      </w:r>
      <w:proofErr w:type="spellStart"/>
      <w:r w:rsidR="00641443" w:rsidRPr="003E25BC">
        <w:rPr>
          <w:rFonts w:ascii="Times New Roman" w:hAnsi="Times New Roman" w:cs="Times New Roman"/>
        </w:rPr>
        <w:t>Имаевой</w:t>
      </w:r>
      <w:proofErr w:type="spellEnd"/>
      <w:r w:rsidR="00641443" w:rsidRPr="003E25BC">
        <w:rPr>
          <w:rFonts w:ascii="Times New Roman" w:hAnsi="Times New Roman" w:cs="Times New Roman"/>
        </w:rPr>
        <w:t>:</w:t>
      </w:r>
      <w:r w:rsidR="00641443" w:rsidRPr="003E25BC">
        <w:rPr>
          <w:rFonts w:ascii="Times New Roman" w:hAnsi="Times New Roman" w:cs="Times New Roman"/>
          <w:b/>
          <w:i/>
          <w:iCs/>
        </w:rPr>
        <w:t xml:space="preserve"> </w:t>
      </w:r>
      <w:r w:rsidR="00641443" w:rsidRPr="003E25BC">
        <w:rPr>
          <w:rFonts w:ascii="Times New Roman" w:hAnsi="Times New Roman" w:cs="Times New Roman"/>
          <w:bCs/>
          <w:i/>
          <w:iCs/>
        </w:rPr>
        <w:t>«Сегодня мы наблюдаем «финансовую растерянность» населения в связи с общеэкономической ситуацией. На фоне снижения реальных доходов, роста инфляционных ожиданий, в комплексе с невысоким уровнем финансовой грамотности, граждане предпочитают придерживаться выжидательной позиции и ничего не предпринимать по отношению к своим финансам».</w:t>
      </w:r>
      <w:r w:rsidR="00641443" w:rsidRPr="003E25BC">
        <w:rPr>
          <w:rFonts w:ascii="Times New Roman" w:hAnsi="Times New Roman" w:cs="Times New Roman"/>
        </w:rPr>
        <w:t xml:space="preserve"> </w:t>
      </w:r>
    </w:p>
    <w:p w14:paraId="2A152D35" w14:textId="77777777" w:rsidR="006F6F09" w:rsidRPr="003E25BC" w:rsidRDefault="006F6F09" w:rsidP="00853C8D">
      <w:pPr>
        <w:rPr>
          <w:rFonts w:ascii="Times New Roman" w:hAnsi="Times New Roman" w:cs="Times New Roman"/>
        </w:rPr>
      </w:pPr>
    </w:p>
    <w:p w14:paraId="0974121D" w14:textId="77777777" w:rsidR="007879AB" w:rsidRPr="003E25BC" w:rsidRDefault="007879AB" w:rsidP="00853C8D">
      <w:pPr>
        <w:rPr>
          <w:rFonts w:ascii="Times New Roman" w:hAnsi="Times New Roman" w:cs="Times New Roman"/>
          <w:szCs w:val="22"/>
        </w:rPr>
      </w:pPr>
      <w:r w:rsidRPr="003E25BC">
        <w:rPr>
          <w:rStyle w:val="af2"/>
          <w:rFonts w:ascii="Times New Roman" w:hAnsi="Times New Roman" w:cs="Times New Roman"/>
          <w:color w:val="020202"/>
          <w:szCs w:val="22"/>
          <w:shd w:val="clear" w:color="auto" w:fill="FFFFFF"/>
        </w:rPr>
        <w:t>Таб</w:t>
      </w:r>
      <w:r w:rsidR="000F4EF6" w:rsidRPr="003E25BC">
        <w:rPr>
          <w:rStyle w:val="af2"/>
          <w:rFonts w:ascii="Times New Roman" w:hAnsi="Times New Roman" w:cs="Times New Roman"/>
          <w:color w:val="020202"/>
          <w:szCs w:val="22"/>
          <w:shd w:val="clear" w:color="auto" w:fill="FFFFFF"/>
        </w:rPr>
        <w:t xml:space="preserve">. 2. </w:t>
      </w:r>
      <w:r w:rsidRPr="003E25BC">
        <w:rPr>
          <w:rFonts w:ascii="Times New Roman" w:hAnsi="Times New Roman" w:cs="Times New Roman"/>
          <w:color w:val="020202"/>
          <w:szCs w:val="22"/>
          <w:shd w:val="clear" w:color="auto" w:fill="FFFFFF"/>
        </w:rPr>
        <w:t>Распределение ответов на вопрос:</w:t>
      </w:r>
      <w:r w:rsidRPr="003E25BC">
        <w:rPr>
          <w:rStyle w:val="apple-converted-space"/>
          <w:rFonts w:ascii="Times New Roman" w:hAnsi="Times New Roman" w:cs="Times New Roman"/>
          <w:color w:val="020202"/>
          <w:szCs w:val="22"/>
          <w:shd w:val="clear" w:color="auto" w:fill="FFFFFF"/>
        </w:rPr>
        <w:t> </w:t>
      </w:r>
      <w:r w:rsidRPr="003E25BC">
        <w:rPr>
          <w:rStyle w:val="af2"/>
          <w:rFonts w:ascii="Times New Roman" w:hAnsi="Times New Roman" w:cs="Times New Roman"/>
          <w:color w:val="020202"/>
          <w:szCs w:val="22"/>
          <w:shd w:val="clear" w:color="auto" w:fill="FFFFFF"/>
        </w:rPr>
        <w:t xml:space="preserve">«Есть ли у Вас (Вашей семьи) сбережения, накопления? Под сбережениями, накоплениями мы понимаем вклады в банках, накопительные страховые </w:t>
      </w:r>
      <w:r w:rsidRPr="003E25BC">
        <w:rPr>
          <w:rStyle w:val="af2"/>
          <w:rFonts w:ascii="Times New Roman" w:hAnsi="Times New Roman" w:cs="Times New Roman"/>
          <w:color w:val="020202"/>
          <w:szCs w:val="22"/>
          <w:shd w:val="clear" w:color="auto" w:fill="FFFFFF"/>
        </w:rPr>
        <w:lastRenderedPageBreak/>
        <w:t>полисы, имеющиеся у Вас (членов Вашей семьи) акции, облигации и другие ценные бумаги, наличные деньги, которые вы отложили (не тратите на текущие нужды)»,</w:t>
      </w:r>
      <w:r w:rsidRPr="003E25BC">
        <w:rPr>
          <w:rStyle w:val="apple-converted-space"/>
          <w:rFonts w:ascii="Times New Roman" w:hAnsi="Times New Roman" w:cs="Times New Roman"/>
          <w:b/>
          <w:bCs/>
          <w:color w:val="020202"/>
          <w:szCs w:val="22"/>
          <w:shd w:val="clear" w:color="auto" w:fill="FFFFFF"/>
        </w:rPr>
        <w:t> </w:t>
      </w:r>
      <w:r w:rsidRPr="003E25BC">
        <w:rPr>
          <w:rFonts w:ascii="Times New Roman" w:hAnsi="Times New Roman" w:cs="Times New Roman"/>
          <w:color w:val="020202"/>
          <w:szCs w:val="22"/>
          <w:shd w:val="clear" w:color="auto" w:fill="FFFFFF"/>
        </w:rPr>
        <w:t>% от всех опрошенных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949"/>
        <w:gridCol w:w="960"/>
        <w:gridCol w:w="961"/>
        <w:gridCol w:w="960"/>
        <w:gridCol w:w="961"/>
        <w:gridCol w:w="961"/>
        <w:gridCol w:w="960"/>
        <w:gridCol w:w="961"/>
        <w:gridCol w:w="961"/>
      </w:tblGrid>
      <w:tr w:rsidR="007879AB" w:rsidRPr="005A1D0F" w14:paraId="51A84F27" w14:textId="77777777" w:rsidTr="005A1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4E79D6E" w14:textId="77777777" w:rsidR="007879AB" w:rsidRPr="007879AB" w:rsidRDefault="007879AB" w:rsidP="007879AB">
            <w:pPr>
              <w:spacing w:before="60" w:after="60" w:line="240" w:lineRule="auto"/>
              <w:jc w:val="center"/>
              <w:rPr>
                <w:color w:val="020202"/>
                <w:szCs w:val="22"/>
              </w:rPr>
            </w:pPr>
          </w:p>
        </w:tc>
        <w:tc>
          <w:tcPr>
            <w:tcW w:w="960" w:type="dxa"/>
          </w:tcPr>
          <w:p w14:paraId="048F55F6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2005</w:t>
            </w:r>
          </w:p>
        </w:tc>
        <w:tc>
          <w:tcPr>
            <w:tcW w:w="961" w:type="dxa"/>
          </w:tcPr>
          <w:p w14:paraId="09E17F69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2007</w:t>
            </w:r>
          </w:p>
        </w:tc>
        <w:tc>
          <w:tcPr>
            <w:tcW w:w="960" w:type="dxa"/>
          </w:tcPr>
          <w:p w14:paraId="2AE185BC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2008</w:t>
            </w:r>
          </w:p>
        </w:tc>
        <w:tc>
          <w:tcPr>
            <w:tcW w:w="961" w:type="dxa"/>
          </w:tcPr>
          <w:p w14:paraId="28D445AE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2009</w:t>
            </w:r>
          </w:p>
        </w:tc>
        <w:tc>
          <w:tcPr>
            <w:tcW w:w="961" w:type="dxa"/>
          </w:tcPr>
          <w:p w14:paraId="7281E984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2010</w:t>
            </w:r>
          </w:p>
        </w:tc>
        <w:tc>
          <w:tcPr>
            <w:tcW w:w="960" w:type="dxa"/>
          </w:tcPr>
          <w:p w14:paraId="7CE86DD4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2011</w:t>
            </w:r>
          </w:p>
        </w:tc>
        <w:tc>
          <w:tcPr>
            <w:tcW w:w="961" w:type="dxa"/>
          </w:tcPr>
          <w:p w14:paraId="7BCA4809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2012</w:t>
            </w:r>
          </w:p>
        </w:tc>
        <w:tc>
          <w:tcPr>
            <w:tcW w:w="961" w:type="dxa"/>
          </w:tcPr>
          <w:p w14:paraId="1A3A8260" w14:textId="77777777" w:rsidR="007879AB" w:rsidRPr="007879AB" w:rsidRDefault="007879AB" w:rsidP="007879AB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2016</w:t>
            </w:r>
          </w:p>
        </w:tc>
      </w:tr>
      <w:tr w:rsidR="007879AB" w:rsidRPr="005A1D0F" w14:paraId="759D1A15" w14:textId="77777777" w:rsidTr="0078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40F16070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Есть</w:t>
            </w:r>
          </w:p>
        </w:tc>
        <w:tc>
          <w:tcPr>
            <w:tcW w:w="960" w:type="dxa"/>
            <w:hideMark/>
          </w:tcPr>
          <w:p w14:paraId="070D774B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27</w:t>
            </w:r>
          </w:p>
        </w:tc>
        <w:tc>
          <w:tcPr>
            <w:tcW w:w="961" w:type="dxa"/>
            <w:hideMark/>
          </w:tcPr>
          <w:p w14:paraId="2AA61A1E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28</w:t>
            </w:r>
          </w:p>
        </w:tc>
        <w:tc>
          <w:tcPr>
            <w:tcW w:w="960" w:type="dxa"/>
            <w:hideMark/>
          </w:tcPr>
          <w:p w14:paraId="4144A84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26</w:t>
            </w:r>
          </w:p>
        </w:tc>
        <w:tc>
          <w:tcPr>
            <w:tcW w:w="961" w:type="dxa"/>
            <w:hideMark/>
          </w:tcPr>
          <w:p w14:paraId="01F841D3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31</w:t>
            </w:r>
          </w:p>
        </w:tc>
        <w:tc>
          <w:tcPr>
            <w:tcW w:w="961" w:type="dxa"/>
            <w:hideMark/>
          </w:tcPr>
          <w:p w14:paraId="2C01FE91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28</w:t>
            </w:r>
          </w:p>
        </w:tc>
        <w:tc>
          <w:tcPr>
            <w:tcW w:w="960" w:type="dxa"/>
            <w:hideMark/>
          </w:tcPr>
          <w:p w14:paraId="638FBC0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33</w:t>
            </w:r>
          </w:p>
        </w:tc>
        <w:tc>
          <w:tcPr>
            <w:tcW w:w="961" w:type="dxa"/>
            <w:hideMark/>
          </w:tcPr>
          <w:p w14:paraId="1C2CF744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28</w:t>
            </w:r>
          </w:p>
        </w:tc>
        <w:tc>
          <w:tcPr>
            <w:tcW w:w="961" w:type="dxa"/>
          </w:tcPr>
          <w:p w14:paraId="0416B151" w14:textId="77777777" w:rsidR="007879AB" w:rsidRPr="005A1D0F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27</w:t>
            </w:r>
          </w:p>
        </w:tc>
      </w:tr>
      <w:tr w:rsidR="007879AB" w:rsidRPr="005A1D0F" w14:paraId="78AD2AC8" w14:textId="77777777" w:rsidTr="0078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26FE9789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Нет</w:t>
            </w:r>
          </w:p>
        </w:tc>
        <w:tc>
          <w:tcPr>
            <w:tcW w:w="960" w:type="dxa"/>
            <w:hideMark/>
          </w:tcPr>
          <w:p w14:paraId="100818A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64</w:t>
            </w:r>
          </w:p>
        </w:tc>
        <w:tc>
          <w:tcPr>
            <w:tcW w:w="961" w:type="dxa"/>
            <w:hideMark/>
          </w:tcPr>
          <w:p w14:paraId="21A63C6C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66</w:t>
            </w:r>
          </w:p>
        </w:tc>
        <w:tc>
          <w:tcPr>
            <w:tcW w:w="960" w:type="dxa"/>
            <w:hideMark/>
          </w:tcPr>
          <w:p w14:paraId="0168C3D8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68</w:t>
            </w:r>
          </w:p>
        </w:tc>
        <w:tc>
          <w:tcPr>
            <w:tcW w:w="961" w:type="dxa"/>
            <w:hideMark/>
          </w:tcPr>
          <w:p w14:paraId="2B2DE952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65</w:t>
            </w:r>
          </w:p>
        </w:tc>
        <w:tc>
          <w:tcPr>
            <w:tcW w:w="961" w:type="dxa"/>
            <w:hideMark/>
          </w:tcPr>
          <w:p w14:paraId="1B5CBCF1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68</w:t>
            </w:r>
          </w:p>
        </w:tc>
        <w:tc>
          <w:tcPr>
            <w:tcW w:w="960" w:type="dxa"/>
            <w:hideMark/>
          </w:tcPr>
          <w:p w14:paraId="4FC939D6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63</w:t>
            </w:r>
          </w:p>
        </w:tc>
        <w:tc>
          <w:tcPr>
            <w:tcW w:w="961" w:type="dxa"/>
            <w:hideMark/>
          </w:tcPr>
          <w:p w14:paraId="75BCA57C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67</w:t>
            </w:r>
          </w:p>
        </w:tc>
        <w:tc>
          <w:tcPr>
            <w:tcW w:w="961" w:type="dxa"/>
          </w:tcPr>
          <w:p w14:paraId="61258D5E" w14:textId="77777777" w:rsidR="007879AB" w:rsidRPr="005A1D0F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73</w:t>
            </w:r>
          </w:p>
        </w:tc>
      </w:tr>
      <w:tr w:rsidR="007879AB" w:rsidRPr="005A1D0F" w14:paraId="10B9A842" w14:textId="77777777" w:rsidTr="00787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hideMark/>
          </w:tcPr>
          <w:p w14:paraId="264F407B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Затрудняюсь ответить</w:t>
            </w:r>
          </w:p>
        </w:tc>
        <w:tc>
          <w:tcPr>
            <w:tcW w:w="960" w:type="dxa"/>
            <w:hideMark/>
          </w:tcPr>
          <w:p w14:paraId="4969720B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9</w:t>
            </w:r>
          </w:p>
        </w:tc>
        <w:tc>
          <w:tcPr>
            <w:tcW w:w="961" w:type="dxa"/>
            <w:hideMark/>
          </w:tcPr>
          <w:p w14:paraId="6D48F526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</w:t>
            </w:r>
          </w:p>
        </w:tc>
        <w:tc>
          <w:tcPr>
            <w:tcW w:w="960" w:type="dxa"/>
            <w:hideMark/>
          </w:tcPr>
          <w:p w14:paraId="22F194E3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6</w:t>
            </w:r>
          </w:p>
        </w:tc>
        <w:tc>
          <w:tcPr>
            <w:tcW w:w="961" w:type="dxa"/>
            <w:hideMark/>
          </w:tcPr>
          <w:p w14:paraId="28E99977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4</w:t>
            </w:r>
          </w:p>
        </w:tc>
        <w:tc>
          <w:tcPr>
            <w:tcW w:w="961" w:type="dxa"/>
            <w:hideMark/>
          </w:tcPr>
          <w:p w14:paraId="24B12B4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</w:t>
            </w:r>
          </w:p>
        </w:tc>
        <w:tc>
          <w:tcPr>
            <w:tcW w:w="960" w:type="dxa"/>
            <w:hideMark/>
          </w:tcPr>
          <w:p w14:paraId="3BD5C30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4</w:t>
            </w:r>
          </w:p>
        </w:tc>
        <w:tc>
          <w:tcPr>
            <w:tcW w:w="961" w:type="dxa"/>
            <w:hideMark/>
          </w:tcPr>
          <w:p w14:paraId="12A75F33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5</w:t>
            </w:r>
          </w:p>
        </w:tc>
        <w:tc>
          <w:tcPr>
            <w:tcW w:w="961" w:type="dxa"/>
          </w:tcPr>
          <w:p w14:paraId="39FBECD6" w14:textId="77777777" w:rsidR="007879AB" w:rsidRPr="005A1D0F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0</w:t>
            </w:r>
          </w:p>
        </w:tc>
      </w:tr>
    </w:tbl>
    <w:p w14:paraId="3D78AFA3" w14:textId="77777777" w:rsidR="007879AB" w:rsidRPr="007879AB" w:rsidRDefault="007879AB" w:rsidP="00641443">
      <w:pPr>
        <w:shd w:val="clear" w:color="auto" w:fill="FFFFFF"/>
        <w:spacing w:before="240" w:after="120" w:line="240" w:lineRule="auto"/>
        <w:rPr>
          <w:color w:val="020202"/>
          <w:szCs w:val="22"/>
        </w:rPr>
      </w:pPr>
      <w:r w:rsidRPr="005A1D0F">
        <w:rPr>
          <w:b/>
          <w:bCs/>
          <w:color w:val="020202"/>
          <w:szCs w:val="22"/>
        </w:rPr>
        <w:t>Таб</w:t>
      </w:r>
      <w:r w:rsidR="000F4EF6">
        <w:rPr>
          <w:b/>
          <w:bCs/>
          <w:color w:val="020202"/>
          <w:szCs w:val="22"/>
        </w:rPr>
        <w:t>. 3</w:t>
      </w:r>
      <w:r w:rsidRPr="005A1D0F">
        <w:rPr>
          <w:b/>
          <w:bCs/>
          <w:color w:val="020202"/>
          <w:szCs w:val="22"/>
        </w:rPr>
        <w:t>.</w:t>
      </w:r>
      <w:r w:rsidRPr="005A1D0F">
        <w:rPr>
          <w:color w:val="020202"/>
          <w:szCs w:val="22"/>
        </w:rPr>
        <w:t> </w:t>
      </w:r>
      <w:r w:rsidRPr="007879AB">
        <w:rPr>
          <w:color w:val="020202"/>
          <w:szCs w:val="22"/>
        </w:rPr>
        <w:t>Распределение ответов на вопрос:</w:t>
      </w:r>
      <w:r w:rsidRPr="005A1D0F">
        <w:rPr>
          <w:color w:val="020202"/>
          <w:szCs w:val="22"/>
        </w:rPr>
        <w:t> </w:t>
      </w:r>
      <w:r w:rsidRPr="005A1D0F">
        <w:rPr>
          <w:b/>
          <w:bCs/>
          <w:color w:val="020202"/>
          <w:szCs w:val="22"/>
        </w:rPr>
        <w:t>«Как Вы считаете, сейчас хорошее или плохое время для того, чтобы делать сбережения?», </w:t>
      </w:r>
      <w:r w:rsidRPr="007879AB">
        <w:rPr>
          <w:color w:val="020202"/>
          <w:szCs w:val="22"/>
        </w:rPr>
        <w:t>% от всех опрошенных</w:t>
      </w:r>
    </w:p>
    <w:tbl>
      <w:tblPr>
        <w:tblStyle w:val="af"/>
        <w:tblW w:w="9495" w:type="dxa"/>
        <w:tblLook w:val="04A0" w:firstRow="1" w:lastRow="0" w:firstColumn="1" w:lastColumn="0" w:noHBand="0" w:noVBand="1"/>
      </w:tblPr>
      <w:tblGrid>
        <w:gridCol w:w="4395"/>
        <w:gridCol w:w="1560"/>
        <w:gridCol w:w="1695"/>
        <w:gridCol w:w="1845"/>
      </w:tblGrid>
      <w:tr w:rsidR="007879AB" w:rsidRPr="007879AB" w14:paraId="46413743" w14:textId="77777777" w:rsidTr="005A1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59F6DAE0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</w:p>
        </w:tc>
        <w:tc>
          <w:tcPr>
            <w:tcW w:w="1560" w:type="dxa"/>
            <w:hideMark/>
          </w:tcPr>
          <w:p w14:paraId="6E37BB55" w14:textId="77777777" w:rsidR="007879AB" w:rsidRPr="007879AB" w:rsidRDefault="007879AB" w:rsidP="007879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2005</w:t>
            </w:r>
          </w:p>
        </w:tc>
        <w:tc>
          <w:tcPr>
            <w:tcW w:w="1695" w:type="dxa"/>
            <w:hideMark/>
          </w:tcPr>
          <w:p w14:paraId="6B1AA4A9" w14:textId="77777777" w:rsidR="007879AB" w:rsidRPr="007879AB" w:rsidRDefault="007879AB" w:rsidP="007879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2010</w:t>
            </w:r>
          </w:p>
        </w:tc>
        <w:tc>
          <w:tcPr>
            <w:tcW w:w="1845" w:type="dxa"/>
            <w:hideMark/>
          </w:tcPr>
          <w:p w14:paraId="782BE01A" w14:textId="77777777" w:rsidR="007879AB" w:rsidRPr="007879AB" w:rsidRDefault="007879AB" w:rsidP="007879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5A1D0F">
              <w:rPr>
                <w:b/>
                <w:bCs/>
                <w:color w:val="020202"/>
                <w:szCs w:val="22"/>
              </w:rPr>
              <w:t>2016</w:t>
            </w:r>
          </w:p>
        </w:tc>
      </w:tr>
      <w:tr w:rsidR="007879AB" w:rsidRPr="007879AB" w14:paraId="0DB20105" w14:textId="77777777" w:rsidTr="005A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4EF1DBE2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Хорошее</w:t>
            </w:r>
          </w:p>
        </w:tc>
        <w:tc>
          <w:tcPr>
            <w:tcW w:w="1560" w:type="dxa"/>
            <w:hideMark/>
          </w:tcPr>
          <w:p w14:paraId="2F8D3F13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9</w:t>
            </w:r>
          </w:p>
        </w:tc>
        <w:tc>
          <w:tcPr>
            <w:tcW w:w="1695" w:type="dxa"/>
            <w:hideMark/>
          </w:tcPr>
          <w:p w14:paraId="58B98ACD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17</w:t>
            </w:r>
          </w:p>
        </w:tc>
        <w:tc>
          <w:tcPr>
            <w:tcW w:w="1845" w:type="dxa"/>
            <w:hideMark/>
          </w:tcPr>
          <w:p w14:paraId="610EBE93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11</w:t>
            </w:r>
          </w:p>
        </w:tc>
      </w:tr>
      <w:tr w:rsidR="007879AB" w:rsidRPr="007879AB" w14:paraId="6626456E" w14:textId="77777777" w:rsidTr="005A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00DDDAB6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Не хорошее, но и не плохое</w:t>
            </w:r>
          </w:p>
        </w:tc>
        <w:tc>
          <w:tcPr>
            <w:tcW w:w="1560" w:type="dxa"/>
            <w:hideMark/>
          </w:tcPr>
          <w:p w14:paraId="5A1C2CF1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33</w:t>
            </w:r>
          </w:p>
        </w:tc>
        <w:tc>
          <w:tcPr>
            <w:tcW w:w="1695" w:type="dxa"/>
            <w:hideMark/>
          </w:tcPr>
          <w:p w14:paraId="05F4F591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36</w:t>
            </w:r>
          </w:p>
        </w:tc>
        <w:tc>
          <w:tcPr>
            <w:tcW w:w="1845" w:type="dxa"/>
            <w:hideMark/>
          </w:tcPr>
          <w:p w14:paraId="217D7CB7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42</w:t>
            </w:r>
          </w:p>
        </w:tc>
      </w:tr>
      <w:tr w:rsidR="007879AB" w:rsidRPr="007879AB" w14:paraId="34516F03" w14:textId="77777777" w:rsidTr="005A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65427BB4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Плохое</w:t>
            </w:r>
          </w:p>
        </w:tc>
        <w:tc>
          <w:tcPr>
            <w:tcW w:w="1560" w:type="dxa"/>
            <w:hideMark/>
          </w:tcPr>
          <w:p w14:paraId="42909410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48</w:t>
            </w:r>
          </w:p>
        </w:tc>
        <w:tc>
          <w:tcPr>
            <w:tcW w:w="1695" w:type="dxa"/>
            <w:hideMark/>
          </w:tcPr>
          <w:p w14:paraId="3F8D0454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32</w:t>
            </w:r>
          </w:p>
        </w:tc>
        <w:tc>
          <w:tcPr>
            <w:tcW w:w="1845" w:type="dxa"/>
            <w:hideMark/>
          </w:tcPr>
          <w:p w14:paraId="1FEBCE2E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35</w:t>
            </w:r>
          </w:p>
        </w:tc>
      </w:tr>
      <w:tr w:rsidR="007879AB" w:rsidRPr="007879AB" w14:paraId="4AB1F749" w14:textId="77777777" w:rsidTr="005A1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331C97B0" w14:textId="77777777" w:rsidR="007879AB" w:rsidRPr="007879AB" w:rsidRDefault="007879AB" w:rsidP="007879AB">
            <w:pPr>
              <w:spacing w:line="240" w:lineRule="auto"/>
              <w:jc w:val="left"/>
              <w:rPr>
                <w:color w:val="020202"/>
                <w:szCs w:val="22"/>
              </w:rPr>
            </w:pPr>
            <w:r w:rsidRPr="005A1D0F">
              <w:rPr>
                <w:i/>
                <w:iCs/>
                <w:color w:val="020202"/>
                <w:szCs w:val="22"/>
              </w:rPr>
              <w:t>Затрудняюсь ответить</w:t>
            </w:r>
          </w:p>
        </w:tc>
        <w:tc>
          <w:tcPr>
            <w:tcW w:w="1560" w:type="dxa"/>
            <w:hideMark/>
          </w:tcPr>
          <w:p w14:paraId="6AF40D5B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9</w:t>
            </w:r>
          </w:p>
        </w:tc>
        <w:tc>
          <w:tcPr>
            <w:tcW w:w="1695" w:type="dxa"/>
            <w:hideMark/>
          </w:tcPr>
          <w:p w14:paraId="2FB154C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15</w:t>
            </w:r>
          </w:p>
        </w:tc>
        <w:tc>
          <w:tcPr>
            <w:tcW w:w="1845" w:type="dxa"/>
            <w:hideMark/>
          </w:tcPr>
          <w:p w14:paraId="410DD505" w14:textId="77777777" w:rsidR="007879AB" w:rsidRPr="007879AB" w:rsidRDefault="007879AB" w:rsidP="007879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20202"/>
                <w:szCs w:val="22"/>
              </w:rPr>
            </w:pPr>
            <w:r w:rsidRPr="007879AB">
              <w:rPr>
                <w:color w:val="020202"/>
                <w:szCs w:val="22"/>
              </w:rPr>
              <w:t>12</w:t>
            </w:r>
          </w:p>
        </w:tc>
      </w:tr>
    </w:tbl>
    <w:p w14:paraId="28687686" w14:textId="77777777" w:rsidR="00853C8D" w:rsidRPr="003E25BC" w:rsidRDefault="005A1D0F" w:rsidP="000F4EF6">
      <w:pPr>
        <w:spacing w:before="120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П</w:t>
      </w:r>
      <w:r w:rsidR="00853C8D" w:rsidRPr="003E25BC">
        <w:rPr>
          <w:rFonts w:ascii="Times New Roman" w:hAnsi="Times New Roman" w:cs="Times New Roman"/>
        </w:rPr>
        <w:t>о данным Мин</w:t>
      </w:r>
      <w:r w:rsidRPr="003E25BC">
        <w:rPr>
          <w:rFonts w:ascii="Times New Roman" w:hAnsi="Times New Roman" w:cs="Times New Roman"/>
        </w:rPr>
        <w:t xml:space="preserve">труда, в 2015 г. число россиян с доходами </w:t>
      </w:r>
      <w:r w:rsidR="00853C8D" w:rsidRPr="003E25BC">
        <w:rPr>
          <w:rFonts w:ascii="Times New Roman" w:hAnsi="Times New Roman" w:cs="Times New Roman"/>
        </w:rPr>
        <w:t>ниже прожиточного минимума</w:t>
      </w:r>
      <w:r w:rsidRPr="003E25BC">
        <w:rPr>
          <w:rFonts w:ascii="Times New Roman" w:hAnsi="Times New Roman" w:cs="Times New Roman"/>
        </w:rPr>
        <w:t xml:space="preserve"> </w:t>
      </w:r>
      <w:r w:rsidR="00853C8D" w:rsidRPr="003E25BC">
        <w:rPr>
          <w:rFonts w:ascii="Times New Roman" w:hAnsi="Times New Roman" w:cs="Times New Roman"/>
        </w:rPr>
        <w:t xml:space="preserve">превысило 19 </w:t>
      </w:r>
      <w:proofErr w:type="gramStart"/>
      <w:r w:rsidR="00853C8D" w:rsidRPr="003E25BC">
        <w:rPr>
          <w:rFonts w:ascii="Times New Roman" w:hAnsi="Times New Roman" w:cs="Times New Roman"/>
        </w:rPr>
        <w:t>млн</w:t>
      </w:r>
      <w:proofErr w:type="gramEnd"/>
      <w:r w:rsidR="00853C8D" w:rsidRPr="003E25BC">
        <w:rPr>
          <w:rFonts w:ascii="Times New Roman" w:hAnsi="Times New Roman" w:cs="Times New Roman"/>
        </w:rPr>
        <w:t xml:space="preserve"> человек. </w:t>
      </w:r>
      <w:proofErr w:type="gramStart"/>
      <w:r w:rsidR="00853C8D" w:rsidRPr="003E25BC">
        <w:rPr>
          <w:rFonts w:ascii="Times New Roman" w:hAnsi="Times New Roman" w:cs="Times New Roman"/>
        </w:rPr>
        <w:t xml:space="preserve">Снижение доходов </w:t>
      </w:r>
      <w:r w:rsidRPr="003E25BC">
        <w:rPr>
          <w:rFonts w:ascii="Times New Roman" w:hAnsi="Times New Roman" w:cs="Times New Roman"/>
        </w:rPr>
        <w:t xml:space="preserve">населения </w:t>
      </w:r>
      <w:r w:rsidR="00853C8D" w:rsidRPr="003E25BC">
        <w:rPr>
          <w:rFonts w:ascii="Times New Roman" w:hAnsi="Times New Roman" w:cs="Times New Roman"/>
        </w:rPr>
        <w:t xml:space="preserve">сопровождается сокращением потребления: российский индекс потребительского доверия </w:t>
      </w:r>
      <w:proofErr w:type="spellStart"/>
      <w:r w:rsidR="00853C8D" w:rsidRPr="003E25BC">
        <w:rPr>
          <w:rFonts w:ascii="Times New Roman" w:hAnsi="Times New Roman" w:cs="Times New Roman"/>
        </w:rPr>
        <w:t>Nielsen</w:t>
      </w:r>
      <w:proofErr w:type="spellEnd"/>
      <w:r w:rsidR="00853C8D" w:rsidRPr="003E25BC">
        <w:rPr>
          <w:rFonts w:ascii="Times New Roman" w:hAnsi="Times New Roman" w:cs="Times New Roman"/>
        </w:rPr>
        <w:t xml:space="preserve"> в 1-м квартале 2016 г. обновил исторический минимум, составив 63 пункта (в первом квартале 2015 г. – 72 пункта) – это самое низкое значение за все 11 лет наблюдений</w:t>
      </w:r>
      <w:r w:rsidR="00853C8D" w:rsidRPr="003E25BC">
        <w:rPr>
          <w:rFonts w:ascii="Times New Roman" w:hAnsi="Times New Roman" w:cs="Times New Roman"/>
          <w:vertAlign w:val="superscript"/>
        </w:rPr>
        <w:footnoteReference w:id="13"/>
      </w:r>
      <w:r w:rsidR="00853C8D" w:rsidRPr="003E25BC">
        <w:rPr>
          <w:rFonts w:ascii="Times New Roman" w:hAnsi="Times New Roman" w:cs="Times New Roman"/>
        </w:rPr>
        <w:t>. Результаты этого исследования подкрепляются данными Росстата: так, реальные располагаемые доходы (доходы минус обязательные платежи с поправкой на инфляцию) россиян в 1-м квартале</w:t>
      </w:r>
      <w:proofErr w:type="gramEnd"/>
      <w:r w:rsidR="00853C8D" w:rsidRPr="003E25BC">
        <w:rPr>
          <w:rFonts w:ascii="Times New Roman" w:hAnsi="Times New Roman" w:cs="Times New Roman"/>
        </w:rPr>
        <w:t xml:space="preserve"> 2016 г.</w:t>
      </w:r>
      <w:r w:rsidRPr="003E25BC">
        <w:rPr>
          <w:rFonts w:ascii="Times New Roman" w:hAnsi="Times New Roman" w:cs="Times New Roman"/>
        </w:rPr>
        <w:t xml:space="preserve"> </w:t>
      </w:r>
      <w:r w:rsidR="00853C8D" w:rsidRPr="003E25BC">
        <w:rPr>
          <w:rFonts w:ascii="Times New Roman" w:hAnsi="Times New Roman" w:cs="Times New Roman"/>
        </w:rPr>
        <w:t>снизились на 3,7% по сравнению с аналогичным периодом 2015 г. и на 4% за 2015 г. по сравнению с 2014</w:t>
      </w:r>
      <w:r w:rsidRPr="003E25BC">
        <w:rPr>
          <w:rFonts w:ascii="Times New Roman" w:hAnsi="Times New Roman" w:cs="Times New Roman"/>
        </w:rPr>
        <w:t> </w:t>
      </w:r>
      <w:r w:rsidR="00853C8D" w:rsidRPr="003E25BC">
        <w:rPr>
          <w:rFonts w:ascii="Times New Roman" w:hAnsi="Times New Roman" w:cs="Times New Roman"/>
        </w:rPr>
        <w:t>г.</w:t>
      </w:r>
    </w:p>
    <w:p w14:paraId="4A97C5B3" w14:textId="77777777" w:rsidR="00853C8D" w:rsidRPr="003E25BC" w:rsidRDefault="00641443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Еще один </w:t>
      </w:r>
      <w:proofErr w:type="gramStart"/>
      <w:r w:rsidRPr="003E25BC">
        <w:rPr>
          <w:rFonts w:ascii="Times New Roman" w:hAnsi="Times New Roman" w:cs="Times New Roman"/>
        </w:rPr>
        <w:t>фактор</w:t>
      </w:r>
      <w:proofErr w:type="gramEnd"/>
      <w:r w:rsidRPr="003E25BC">
        <w:rPr>
          <w:rFonts w:ascii="Times New Roman" w:hAnsi="Times New Roman" w:cs="Times New Roman"/>
        </w:rPr>
        <w:t xml:space="preserve"> который необходимо учитывать –</w:t>
      </w:r>
      <w:r w:rsidR="00585FDD" w:rsidRPr="003E25BC">
        <w:rPr>
          <w:rFonts w:ascii="Times New Roman" w:hAnsi="Times New Roman" w:cs="Times New Roman"/>
        </w:rPr>
        <w:t xml:space="preserve"> </w:t>
      </w:r>
      <w:r w:rsidRPr="003E25BC">
        <w:rPr>
          <w:rFonts w:ascii="Times New Roman" w:hAnsi="Times New Roman" w:cs="Times New Roman"/>
        </w:rPr>
        <w:t xml:space="preserve">уровень </w:t>
      </w:r>
      <w:proofErr w:type="spellStart"/>
      <w:r w:rsidRPr="003E25BC">
        <w:rPr>
          <w:rFonts w:ascii="Times New Roman" w:hAnsi="Times New Roman" w:cs="Times New Roman"/>
        </w:rPr>
        <w:t>закредитованности</w:t>
      </w:r>
      <w:proofErr w:type="spellEnd"/>
      <w:r w:rsidR="00585FDD" w:rsidRPr="003E25BC">
        <w:rPr>
          <w:rFonts w:ascii="Times New Roman" w:hAnsi="Times New Roman" w:cs="Times New Roman"/>
        </w:rPr>
        <w:t xml:space="preserve"> населения. В текущий момент он достаточно высокий</w:t>
      </w:r>
      <w:r w:rsidR="00853C8D" w:rsidRPr="003E25BC">
        <w:rPr>
          <w:rFonts w:ascii="Times New Roman" w:hAnsi="Times New Roman" w:cs="Times New Roman"/>
          <w:vertAlign w:val="superscript"/>
        </w:rPr>
        <w:footnoteReference w:id="14"/>
      </w:r>
      <w:r w:rsidR="00853C8D" w:rsidRPr="003E25BC">
        <w:rPr>
          <w:rFonts w:ascii="Times New Roman" w:hAnsi="Times New Roman" w:cs="Times New Roman"/>
        </w:rPr>
        <w:t xml:space="preserve">: почти четверть </w:t>
      </w:r>
      <w:r w:rsidR="00585FDD" w:rsidRPr="003E25BC">
        <w:rPr>
          <w:rFonts w:ascii="Times New Roman" w:hAnsi="Times New Roman" w:cs="Times New Roman"/>
        </w:rPr>
        <w:t>наших сограждан</w:t>
      </w:r>
      <w:r w:rsidR="00853C8D" w:rsidRPr="003E25BC">
        <w:rPr>
          <w:rFonts w:ascii="Times New Roman" w:hAnsi="Times New Roman" w:cs="Times New Roman"/>
        </w:rPr>
        <w:t xml:space="preserve">, или порядка 38 </w:t>
      </w:r>
      <w:proofErr w:type="gramStart"/>
      <w:r w:rsidR="00853C8D" w:rsidRPr="003E25BC">
        <w:rPr>
          <w:rFonts w:ascii="Times New Roman" w:hAnsi="Times New Roman" w:cs="Times New Roman"/>
        </w:rPr>
        <w:t>млн</w:t>
      </w:r>
      <w:proofErr w:type="gramEnd"/>
      <w:r w:rsidR="00853C8D" w:rsidRPr="003E25BC">
        <w:rPr>
          <w:rFonts w:ascii="Times New Roman" w:hAnsi="Times New Roman" w:cs="Times New Roman"/>
        </w:rPr>
        <w:t xml:space="preserve"> человек имеют задолженности перед банками. </w:t>
      </w:r>
      <w:proofErr w:type="gramStart"/>
      <w:r w:rsidR="00585FDD" w:rsidRPr="003E25BC">
        <w:rPr>
          <w:rFonts w:ascii="Times New Roman" w:hAnsi="Times New Roman" w:cs="Times New Roman"/>
        </w:rPr>
        <w:t>Н</w:t>
      </w:r>
      <w:r w:rsidR="00853C8D" w:rsidRPr="003E25BC">
        <w:rPr>
          <w:rFonts w:ascii="Times New Roman" w:hAnsi="Times New Roman" w:cs="Times New Roman"/>
        </w:rPr>
        <w:t>аблюдается рост доли просроченной задолженности физических лиц: в 2013 г. доля просроченных кредитов свыше 90 дней составила 5,8%, в 2014</w:t>
      </w:r>
      <w:r w:rsidR="00585FDD" w:rsidRPr="003E25BC">
        <w:rPr>
          <w:rFonts w:ascii="Times New Roman" w:hAnsi="Times New Roman" w:cs="Times New Roman"/>
        </w:rPr>
        <w:t> </w:t>
      </w:r>
      <w:r w:rsidR="00853C8D" w:rsidRPr="003E25BC">
        <w:rPr>
          <w:rFonts w:ascii="Times New Roman" w:hAnsi="Times New Roman" w:cs="Times New Roman"/>
        </w:rPr>
        <w:t xml:space="preserve">г. – 7,9%, в 2015 г. – 10,5%. </w:t>
      </w:r>
      <w:r w:rsidR="00585FDD" w:rsidRPr="003E25BC">
        <w:rPr>
          <w:rFonts w:ascii="Times New Roman" w:hAnsi="Times New Roman" w:cs="Times New Roman"/>
        </w:rPr>
        <w:t>С</w:t>
      </w:r>
      <w:r w:rsidR="00853C8D" w:rsidRPr="003E25BC">
        <w:rPr>
          <w:rFonts w:ascii="Times New Roman" w:hAnsi="Times New Roman" w:cs="Times New Roman"/>
        </w:rPr>
        <w:t>огласно данным НАФИ, 28% россиян хотя бы раз в год берут неформальные займы у друзей или родственников</w:t>
      </w:r>
      <w:r w:rsidR="00853C8D" w:rsidRPr="003E25BC">
        <w:rPr>
          <w:rFonts w:ascii="Times New Roman" w:hAnsi="Times New Roman" w:cs="Times New Roman"/>
          <w:vertAlign w:val="superscript"/>
        </w:rPr>
        <w:footnoteReference w:id="15"/>
      </w:r>
      <w:r w:rsidR="00853C8D" w:rsidRPr="003E25BC">
        <w:rPr>
          <w:rFonts w:ascii="Times New Roman" w:hAnsi="Times New Roman" w:cs="Times New Roman"/>
        </w:rPr>
        <w:t xml:space="preserve">. Таким образом, </w:t>
      </w:r>
      <w:r w:rsidR="00853C8D" w:rsidRPr="003E25BC">
        <w:rPr>
          <w:rFonts w:ascii="Times New Roman" w:hAnsi="Times New Roman" w:cs="Times New Roman"/>
          <w:b/>
        </w:rPr>
        <w:t>у населения остается все меньше свободных денежных средств, которые могли бы быть направлены на формирование</w:t>
      </w:r>
      <w:proofErr w:type="gramEnd"/>
      <w:r w:rsidR="00853C8D" w:rsidRPr="003E25BC">
        <w:rPr>
          <w:rFonts w:ascii="Times New Roman" w:hAnsi="Times New Roman" w:cs="Times New Roman"/>
          <w:b/>
        </w:rPr>
        <w:t xml:space="preserve"> дополнительных пенсионных отчислений из заработной платы</w:t>
      </w:r>
      <w:r w:rsidR="00853C8D" w:rsidRPr="003E25BC">
        <w:rPr>
          <w:rFonts w:ascii="Times New Roman" w:hAnsi="Times New Roman" w:cs="Times New Roman"/>
        </w:rPr>
        <w:t>.</w:t>
      </w:r>
    </w:p>
    <w:p w14:paraId="3B8847C2" w14:textId="77777777" w:rsidR="00853C8D" w:rsidRPr="003E25BC" w:rsidRDefault="00853C8D" w:rsidP="00585FDD">
      <w:pPr>
        <w:keepNext/>
        <w:shd w:val="clear" w:color="auto" w:fill="FFFFFF"/>
        <w:spacing w:before="240" w:after="120" w:line="240" w:lineRule="auto"/>
        <w:rPr>
          <w:rFonts w:ascii="Times New Roman" w:hAnsi="Times New Roman" w:cs="Times New Roman"/>
          <w:b/>
          <w:bCs/>
          <w:color w:val="020202"/>
          <w:szCs w:val="22"/>
        </w:rPr>
      </w:pP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lastRenderedPageBreak/>
        <w:t xml:space="preserve">Рис. </w:t>
      </w:r>
      <w:r w:rsidR="000F4EF6" w:rsidRPr="003E25BC">
        <w:rPr>
          <w:rFonts w:ascii="Times New Roman" w:hAnsi="Times New Roman" w:cs="Times New Roman"/>
          <w:b/>
          <w:bCs/>
          <w:color w:val="020202"/>
          <w:szCs w:val="22"/>
        </w:rPr>
        <w:t>6</w:t>
      </w: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t>. Доля ссуд с просроченными платежами свыше 90 дней в общем объеме ссуд, %.</w:t>
      </w:r>
    </w:p>
    <w:p w14:paraId="7635AE3F" w14:textId="77777777" w:rsidR="00853C8D" w:rsidRPr="00853C8D" w:rsidRDefault="00853C8D" w:rsidP="00853C8D">
      <w:pPr>
        <w:spacing w:after="120" w:line="276" w:lineRule="auto"/>
        <w:jc w:val="center"/>
        <w:rPr>
          <w:rFonts w:cs="Times New Roman"/>
          <w:color w:val="97999B"/>
          <w:sz w:val="24"/>
        </w:rPr>
      </w:pPr>
      <w:r w:rsidRPr="00853C8D">
        <w:rPr>
          <w:rFonts w:cs="Times New Roman"/>
          <w:noProof/>
          <w:color w:val="97999B"/>
          <w:sz w:val="24"/>
        </w:rPr>
        <w:drawing>
          <wp:inline distT="0" distB="0" distL="0" distR="0" wp14:anchorId="1D426EDC" wp14:editId="18A3B0B0">
            <wp:extent cx="5735320" cy="21240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6A9FC0" w14:textId="77777777" w:rsidR="00853C8D" w:rsidRPr="003E25BC" w:rsidRDefault="00853C8D" w:rsidP="00853C8D">
      <w:pPr>
        <w:spacing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r w:rsidRPr="003E25BC">
        <w:rPr>
          <w:rFonts w:ascii="Times New Roman" w:hAnsi="Times New Roman" w:cs="Times New Roman"/>
          <w:color w:val="808080"/>
          <w:sz w:val="20"/>
          <w:szCs w:val="20"/>
        </w:rPr>
        <w:t>Источник: Банк России</w:t>
      </w:r>
    </w:p>
    <w:p w14:paraId="097F3BC8" w14:textId="77777777" w:rsidR="00DE1F19" w:rsidRPr="003E25BC" w:rsidRDefault="00DE1F19" w:rsidP="00DE1F19">
      <w:pPr>
        <w:spacing w:before="240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В ходе опроса, проведённого НАФИ в 2015 г. лишь каждый десятый указал, что делает отчисления в НПФ, а более половины </w:t>
      </w:r>
      <w:r w:rsidR="00FE0B1F" w:rsidRPr="003E25BC">
        <w:rPr>
          <w:rFonts w:ascii="Times New Roman" w:hAnsi="Times New Roman" w:cs="Times New Roman"/>
        </w:rPr>
        <w:t>наших сограждан</w:t>
      </w:r>
      <w:r w:rsidR="003B2A9B" w:rsidRPr="003E25BC">
        <w:rPr>
          <w:rFonts w:ascii="Times New Roman" w:hAnsi="Times New Roman" w:cs="Times New Roman"/>
        </w:rPr>
        <w:t xml:space="preserve"> (59%)</w:t>
      </w:r>
      <w:r w:rsidR="00FE0B1F" w:rsidRPr="003E25BC">
        <w:rPr>
          <w:rFonts w:ascii="Times New Roman" w:hAnsi="Times New Roman" w:cs="Times New Roman"/>
        </w:rPr>
        <w:t xml:space="preserve"> не </w:t>
      </w:r>
      <w:r w:rsidR="003B2A9B" w:rsidRPr="003E25BC">
        <w:rPr>
          <w:rFonts w:ascii="Times New Roman" w:hAnsi="Times New Roman" w:cs="Times New Roman"/>
        </w:rPr>
        <w:t xml:space="preserve">только не делают отчислений, но и не хотят делать в будущем. </w:t>
      </w:r>
    </w:p>
    <w:p w14:paraId="71250F84" w14:textId="77777777" w:rsidR="006F6F09" w:rsidRPr="003E25BC" w:rsidRDefault="006F6F09" w:rsidP="00DE1F19">
      <w:pPr>
        <w:spacing w:before="240"/>
        <w:rPr>
          <w:rFonts w:ascii="Times New Roman" w:hAnsi="Times New Roman" w:cs="Times New Roman"/>
        </w:rPr>
      </w:pPr>
    </w:p>
    <w:p w14:paraId="35D12D12" w14:textId="77777777" w:rsidR="00DE1F19" w:rsidRPr="003E25BC" w:rsidRDefault="00DE1F19" w:rsidP="00DE1F1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  <w:bCs/>
        </w:rPr>
        <w:t>Рис</w:t>
      </w:r>
      <w:r w:rsidR="006C0FE2" w:rsidRPr="003E25BC">
        <w:rPr>
          <w:rFonts w:ascii="Times New Roman" w:hAnsi="Times New Roman" w:cs="Times New Roman"/>
          <w:b/>
          <w:bCs/>
        </w:rPr>
        <w:t>. 7.</w:t>
      </w:r>
      <w:r w:rsidRPr="003E25BC">
        <w:rPr>
          <w:rFonts w:ascii="Times New Roman" w:hAnsi="Times New Roman" w:cs="Times New Roman"/>
          <w:b/>
          <w:bCs/>
        </w:rPr>
        <w:t xml:space="preserve"> </w:t>
      </w:r>
      <w:r w:rsidRPr="003E25BC">
        <w:rPr>
          <w:rFonts w:ascii="Times New Roman" w:hAnsi="Times New Roman" w:cs="Times New Roman"/>
          <w:bCs/>
          <w:color w:val="020202"/>
          <w:szCs w:val="22"/>
        </w:rPr>
        <w:t xml:space="preserve">Распределение ответов на вопрос: </w:t>
      </w: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t>«</w:t>
      </w:r>
      <w:r w:rsidRPr="003E25BC">
        <w:rPr>
          <w:rFonts w:ascii="Times New Roman" w:hAnsi="Times New Roman" w:cs="Times New Roman"/>
          <w:b/>
          <w:bCs/>
        </w:rPr>
        <w:t>Вы делаете или хотели бы делать отчисления в негосударственный пенсионный фонд</w:t>
      </w:r>
      <w:proofErr w:type="gramStart"/>
      <w:r w:rsidRPr="003E25BC">
        <w:rPr>
          <w:rFonts w:ascii="Times New Roman" w:hAnsi="Times New Roman" w:cs="Times New Roman"/>
          <w:b/>
          <w:bCs/>
        </w:rPr>
        <w:t>?, %</w:t>
      </w:r>
      <w:proofErr w:type="gramEnd"/>
    </w:p>
    <w:p w14:paraId="34BAD798" w14:textId="77777777" w:rsidR="00B76750" w:rsidRDefault="003B2A9B" w:rsidP="00853C8D">
      <w:r w:rsidRPr="003B2A9B">
        <w:rPr>
          <w:noProof/>
        </w:rPr>
        <w:drawing>
          <wp:inline distT="0" distB="0" distL="0" distR="0" wp14:anchorId="5ABDFD58" wp14:editId="45ACF5A8">
            <wp:extent cx="6042992" cy="3275937"/>
            <wp:effectExtent l="0" t="0" r="0" b="12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EDA3B4" w14:textId="77777777" w:rsidR="00585FDD" w:rsidRPr="003E25BC" w:rsidRDefault="004D22DD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Приведенные данные подтверждаются </w:t>
      </w:r>
      <w:r w:rsidR="00A65B5A" w:rsidRPr="003E25BC">
        <w:rPr>
          <w:rFonts w:ascii="Times New Roman" w:hAnsi="Times New Roman" w:cs="Times New Roman"/>
        </w:rPr>
        <w:t>результатами опроса</w:t>
      </w:r>
      <w:r w:rsidRPr="003E25BC">
        <w:rPr>
          <w:rFonts w:ascii="Times New Roman" w:hAnsi="Times New Roman" w:cs="Times New Roman"/>
        </w:rPr>
        <w:t xml:space="preserve"> НАФИ</w:t>
      </w:r>
      <w:r w:rsidR="00A65B5A" w:rsidRPr="003E25BC">
        <w:rPr>
          <w:rStyle w:val="ac"/>
          <w:rFonts w:ascii="Times New Roman" w:hAnsi="Times New Roman" w:cs="Times New Roman"/>
        </w:rPr>
        <w:footnoteReference w:id="16"/>
      </w:r>
      <w:r w:rsidRPr="003E25BC">
        <w:rPr>
          <w:rFonts w:ascii="Times New Roman" w:hAnsi="Times New Roman" w:cs="Times New Roman"/>
        </w:rPr>
        <w:t xml:space="preserve"> о пользовании различными инструментами для накоплений и инвестиций. Согласно им</w:t>
      </w:r>
      <w:r w:rsidR="00585FDD" w:rsidRPr="003E25BC">
        <w:rPr>
          <w:rFonts w:ascii="Times New Roman" w:hAnsi="Times New Roman" w:cs="Times New Roman"/>
        </w:rPr>
        <w:t xml:space="preserve"> </w:t>
      </w:r>
      <w:r w:rsidR="00060243" w:rsidRPr="003E25BC">
        <w:rPr>
          <w:rFonts w:ascii="Times New Roman" w:hAnsi="Times New Roman" w:cs="Times New Roman"/>
        </w:rPr>
        <w:t xml:space="preserve">услугами НПФ для формирования </w:t>
      </w:r>
      <w:r w:rsidR="00060243" w:rsidRPr="003E25BC">
        <w:rPr>
          <w:rFonts w:ascii="Times New Roman" w:hAnsi="Times New Roman" w:cs="Times New Roman"/>
        </w:rPr>
        <w:lastRenderedPageBreak/>
        <w:t xml:space="preserve">пенсионных сбережений пользуется </w:t>
      </w:r>
      <w:r w:rsidR="004A1E79" w:rsidRPr="003E25BC">
        <w:rPr>
          <w:rFonts w:ascii="Times New Roman" w:hAnsi="Times New Roman" w:cs="Times New Roman"/>
        </w:rPr>
        <w:t>менее чем каждый десятый россиянин</w:t>
      </w:r>
      <w:r w:rsidR="003F5B66" w:rsidRPr="003E25BC">
        <w:rPr>
          <w:rFonts w:ascii="Times New Roman" w:hAnsi="Times New Roman" w:cs="Times New Roman"/>
        </w:rPr>
        <w:t>, а почти 2/3 наших сограждан (63%) не используют никакие инструменты накоплений и инвестиций.</w:t>
      </w:r>
    </w:p>
    <w:p w14:paraId="7DAE2726" w14:textId="77777777" w:rsidR="00585FDD" w:rsidRPr="003E25BC" w:rsidRDefault="00A65B5A" w:rsidP="00060243">
      <w:pPr>
        <w:keepNext/>
        <w:shd w:val="clear" w:color="auto" w:fill="FFFFFF"/>
        <w:spacing w:before="240" w:after="120" w:line="240" w:lineRule="auto"/>
        <w:rPr>
          <w:rFonts w:ascii="Times New Roman" w:hAnsi="Times New Roman" w:cs="Times New Roman"/>
          <w:b/>
          <w:bCs/>
          <w:color w:val="020202"/>
          <w:szCs w:val="22"/>
        </w:rPr>
      </w:pP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t>Рис</w:t>
      </w:r>
      <w:r w:rsidR="006C0FE2" w:rsidRPr="003E25BC">
        <w:rPr>
          <w:rFonts w:ascii="Times New Roman" w:hAnsi="Times New Roman" w:cs="Times New Roman"/>
          <w:b/>
          <w:bCs/>
          <w:color w:val="020202"/>
          <w:szCs w:val="22"/>
        </w:rPr>
        <w:t>. 8.</w:t>
      </w:r>
      <w:r w:rsidR="00060243" w:rsidRPr="003E25BC">
        <w:rPr>
          <w:rFonts w:ascii="Times New Roman" w:hAnsi="Times New Roman" w:cs="Times New Roman"/>
          <w:b/>
          <w:bCs/>
          <w:color w:val="020202"/>
          <w:szCs w:val="22"/>
        </w:rPr>
        <w:t xml:space="preserve"> </w:t>
      </w:r>
      <w:r w:rsidR="00B76750" w:rsidRPr="003E25BC">
        <w:rPr>
          <w:rFonts w:ascii="Times New Roman" w:hAnsi="Times New Roman" w:cs="Times New Roman"/>
          <w:bCs/>
          <w:color w:val="020202"/>
          <w:szCs w:val="22"/>
        </w:rPr>
        <w:t>Распределение ответов на вопрос</w:t>
      </w:r>
      <w:r w:rsidR="00DE1F19" w:rsidRPr="003E25BC">
        <w:rPr>
          <w:rFonts w:ascii="Times New Roman" w:hAnsi="Times New Roman" w:cs="Times New Roman"/>
          <w:bCs/>
          <w:color w:val="020202"/>
          <w:szCs w:val="22"/>
        </w:rPr>
        <w:t>:</w:t>
      </w:r>
      <w:r w:rsidR="00B76750" w:rsidRPr="003E25BC">
        <w:rPr>
          <w:rFonts w:ascii="Times New Roman" w:hAnsi="Times New Roman" w:cs="Times New Roman"/>
          <w:bCs/>
          <w:color w:val="020202"/>
          <w:szCs w:val="22"/>
        </w:rPr>
        <w:t xml:space="preserve"> </w:t>
      </w:r>
      <w:r w:rsidR="00B76750" w:rsidRPr="003E25BC">
        <w:rPr>
          <w:rFonts w:ascii="Times New Roman" w:hAnsi="Times New Roman" w:cs="Times New Roman"/>
          <w:b/>
          <w:bCs/>
          <w:color w:val="020202"/>
          <w:szCs w:val="22"/>
        </w:rPr>
        <w:t>«</w:t>
      </w:r>
      <w:r w:rsidR="00060243" w:rsidRPr="003E25BC">
        <w:rPr>
          <w:rFonts w:ascii="Times New Roman" w:hAnsi="Times New Roman" w:cs="Times New Roman"/>
          <w:b/>
          <w:bCs/>
          <w:color w:val="020202"/>
          <w:szCs w:val="22"/>
        </w:rPr>
        <w:t>Ниже представлены различные инструменты для накоплений и инвестиций. Скажите, используете ли Вы какие-либо из них сейчас?</w:t>
      </w:r>
      <w:r w:rsidR="00B76750" w:rsidRPr="003E25BC">
        <w:rPr>
          <w:rFonts w:ascii="Times New Roman" w:hAnsi="Times New Roman" w:cs="Times New Roman"/>
          <w:b/>
          <w:bCs/>
          <w:color w:val="020202"/>
          <w:szCs w:val="22"/>
        </w:rPr>
        <w:t>» %</w:t>
      </w:r>
    </w:p>
    <w:p w14:paraId="1D20D943" w14:textId="77777777" w:rsidR="00A65B5A" w:rsidRDefault="00A65B5A" w:rsidP="00A65B5A">
      <w:r w:rsidRPr="00A37BC2">
        <w:rPr>
          <w:noProof/>
        </w:rPr>
        <w:drawing>
          <wp:inline distT="0" distB="0" distL="0" distR="0" wp14:anchorId="1758FBF6" wp14:editId="4BC6BC3F">
            <wp:extent cx="6153785" cy="3617843"/>
            <wp:effectExtent l="0" t="0" r="18415" b="19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03BADF1" w14:textId="77777777" w:rsidR="006F6F09" w:rsidRPr="003E25BC" w:rsidRDefault="006F6F09" w:rsidP="00060243">
      <w:pPr>
        <w:rPr>
          <w:rFonts w:ascii="Times New Roman" w:hAnsi="Times New Roman" w:cs="Times New Roman"/>
        </w:rPr>
      </w:pPr>
    </w:p>
    <w:p w14:paraId="5C8CBEC8" w14:textId="77777777" w:rsidR="00777A48" w:rsidRPr="003E25BC" w:rsidRDefault="00777A48" w:rsidP="00060243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Наряду с низким уровнем благосостояния одной из главных причин низкого спроса на добровольные пенсионные накопления является низкий уровень финансовой грамотности россиян. </w:t>
      </w:r>
    </w:p>
    <w:p w14:paraId="1E7FDC65" w14:textId="77777777" w:rsidR="00777A48" w:rsidRPr="003E25BC" w:rsidRDefault="00777A48" w:rsidP="00777A48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Согласно исследованию Всероссийского центра изучения общественного мнения (ВЦИОМ)</w:t>
      </w:r>
      <w:r w:rsidRPr="003E25BC">
        <w:rPr>
          <w:rFonts w:ascii="Times New Roman" w:hAnsi="Times New Roman" w:cs="Times New Roman"/>
          <w:vertAlign w:val="superscript"/>
        </w:rPr>
        <w:footnoteReference w:id="17"/>
      </w:r>
      <w:r w:rsidRPr="003E25BC">
        <w:rPr>
          <w:rFonts w:ascii="Times New Roman" w:hAnsi="Times New Roman" w:cs="Times New Roman"/>
        </w:rPr>
        <w:t xml:space="preserve">, только 8% россиян </w:t>
      </w:r>
      <w:r w:rsidR="00640F1A" w:rsidRPr="003E25BC">
        <w:rPr>
          <w:rFonts w:ascii="Times New Roman" w:hAnsi="Times New Roman" w:cs="Times New Roman"/>
        </w:rPr>
        <w:t>считает</w:t>
      </w:r>
      <w:r w:rsidRPr="003E25BC">
        <w:rPr>
          <w:rFonts w:ascii="Times New Roman" w:hAnsi="Times New Roman" w:cs="Times New Roman"/>
        </w:rPr>
        <w:t>,</w:t>
      </w:r>
      <w:r w:rsidR="00640F1A" w:rsidRPr="003E25BC">
        <w:rPr>
          <w:rFonts w:ascii="Times New Roman" w:hAnsi="Times New Roman" w:cs="Times New Roman"/>
        </w:rPr>
        <w:t xml:space="preserve"> что имеет хорошие знания о пенсионной системе,</w:t>
      </w:r>
      <w:r w:rsidRPr="003E25BC">
        <w:rPr>
          <w:rFonts w:ascii="Times New Roman" w:hAnsi="Times New Roman" w:cs="Times New Roman"/>
        </w:rPr>
        <w:t xml:space="preserve"> а 69% поверхностные, на уровне общего представления. Немаловажно, что каждый четвертый россиянин в возрасте моложе 48 лет (23%) ответил, что ничего не знает о пенсионном обеспечении</w:t>
      </w:r>
      <w:r w:rsidR="00640F1A" w:rsidRPr="003E25BC">
        <w:rPr>
          <w:rFonts w:ascii="Times New Roman" w:hAnsi="Times New Roman" w:cs="Times New Roman"/>
        </w:rPr>
        <w:t>.</w:t>
      </w:r>
      <w:r w:rsidRPr="003E25BC">
        <w:rPr>
          <w:rFonts w:ascii="Times New Roman" w:hAnsi="Times New Roman" w:cs="Times New Roman"/>
        </w:rPr>
        <w:t xml:space="preserve"> </w:t>
      </w:r>
    </w:p>
    <w:p w14:paraId="2A36CB16" w14:textId="77777777" w:rsidR="00060243" w:rsidRPr="003E25BC" w:rsidRDefault="00B76750" w:rsidP="00060243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Данные исследований НАФИ свидетельствуют</w:t>
      </w:r>
      <w:r w:rsidR="006F6F09" w:rsidRPr="003E25BC">
        <w:rPr>
          <w:rFonts w:ascii="Times New Roman" w:hAnsi="Times New Roman" w:cs="Times New Roman"/>
        </w:rPr>
        <w:t>,</w:t>
      </w:r>
      <w:r w:rsidRPr="003E25BC">
        <w:rPr>
          <w:rFonts w:ascii="Times New Roman" w:hAnsi="Times New Roman" w:cs="Times New Roman"/>
        </w:rPr>
        <w:t xml:space="preserve"> </w:t>
      </w:r>
      <w:r w:rsidR="00777A48" w:rsidRPr="003E25BC">
        <w:rPr>
          <w:rFonts w:ascii="Times New Roman" w:hAnsi="Times New Roman" w:cs="Times New Roman"/>
        </w:rPr>
        <w:t>что к</w:t>
      </w:r>
      <w:r w:rsidR="00060243" w:rsidRPr="003E25BC">
        <w:rPr>
          <w:rFonts w:ascii="Times New Roman" w:hAnsi="Times New Roman" w:cs="Times New Roman"/>
        </w:rPr>
        <w:t xml:space="preserve">аждый четвертый житель России не знает, как именно формируется его пенсия. </w:t>
      </w:r>
      <w:r w:rsidR="00A37BC2" w:rsidRPr="003E25BC">
        <w:rPr>
          <w:rFonts w:ascii="Times New Roman" w:hAnsi="Times New Roman" w:cs="Times New Roman"/>
        </w:rPr>
        <w:t>Причём х</w:t>
      </w:r>
      <w:r w:rsidR="00060243" w:rsidRPr="003E25BC">
        <w:rPr>
          <w:rFonts w:ascii="Times New Roman" w:hAnsi="Times New Roman" w:cs="Times New Roman"/>
        </w:rPr>
        <w:t xml:space="preserve">уже всего информированы о принципах формирования своей пенсии </w:t>
      </w:r>
      <w:r w:rsidRPr="003E25BC">
        <w:rPr>
          <w:rFonts w:ascii="Times New Roman" w:hAnsi="Times New Roman" w:cs="Times New Roman"/>
        </w:rPr>
        <w:t xml:space="preserve">граждане с </w:t>
      </w:r>
      <w:r w:rsidR="00060243" w:rsidRPr="003E25BC">
        <w:rPr>
          <w:rFonts w:ascii="Times New Roman" w:hAnsi="Times New Roman" w:cs="Times New Roman"/>
        </w:rPr>
        <w:t>низки</w:t>
      </w:r>
      <w:r w:rsidRPr="003E25BC">
        <w:rPr>
          <w:rFonts w:ascii="Times New Roman" w:hAnsi="Times New Roman" w:cs="Times New Roman"/>
        </w:rPr>
        <w:t>м</w:t>
      </w:r>
      <w:r w:rsidR="00060243" w:rsidRPr="003E25BC">
        <w:rPr>
          <w:rFonts w:ascii="Times New Roman" w:hAnsi="Times New Roman" w:cs="Times New Roman"/>
        </w:rPr>
        <w:t xml:space="preserve"> уровн</w:t>
      </w:r>
      <w:r w:rsidRPr="003E25BC">
        <w:rPr>
          <w:rFonts w:ascii="Times New Roman" w:hAnsi="Times New Roman" w:cs="Times New Roman"/>
        </w:rPr>
        <w:t>ем</w:t>
      </w:r>
      <w:r w:rsidR="00060243" w:rsidRPr="003E25BC">
        <w:rPr>
          <w:rFonts w:ascii="Times New Roman" w:hAnsi="Times New Roman" w:cs="Times New Roman"/>
        </w:rPr>
        <w:t xml:space="preserve"> дохода</w:t>
      </w:r>
      <w:r w:rsidRPr="003E25BC">
        <w:rPr>
          <w:rFonts w:ascii="Times New Roman" w:hAnsi="Times New Roman" w:cs="Times New Roman"/>
        </w:rPr>
        <w:t>. Среди</w:t>
      </w:r>
      <w:r w:rsidR="00060243" w:rsidRPr="003E25BC">
        <w:rPr>
          <w:rFonts w:ascii="Times New Roman" w:hAnsi="Times New Roman" w:cs="Times New Roman"/>
        </w:rPr>
        <w:t xml:space="preserve"> них доля не знающих, из чего </w:t>
      </w:r>
      <w:r w:rsidRPr="003E25BC">
        <w:rPr>
          <w:rFonts w:ascii="Times New Roman" w:hAnsi="Times New Roman" w:cs="Times New Roman"/>
        </w:rPr>
        <w:t>состоит пенсия</w:t>
      </w:r>
      <w:r w:rsidR="00060243" w:rsidRPr="003E25BC">
        <w:rPr>
          <w:rFonts w:ascii="Times New Roman" w:hAnsi="Times New Roman" w:cs="Times New Roman"/>
        </w:rPr>
        <w:t>, составляет 29%.</w:t>
      </w:r>
    </w:p>
    <w:p w14:paraId="1319CDE8" w14:textId="77777777" w:rsidR="006F6F09" w:rsidRPr="00060243" w:rsidRDefault="006F6F09" w:rsidP="00060243"/>
    <w:p w14:paraId="5FFCF89F" w14:textId="77777777" w:rsidR="00B76750" w:rsidRPr="003E25BC" w:rsidRDefault="00B76750" w:rsidP="00B76750">
      <w:pPr>
        <w:keepNext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  <w:bCs/>
        </w:rPr>
        <w:lastRenderedPageBreak/>
        <w:t>Рис</w:t>
      </w:r>
      <w:r w:rsidR="006C0FE2" w:rsidRPr="003E25BC">
        <w:rPr>
          <w:rFonts w:ascii="Times New Roman" w:hAnsi="Times New Roman" w:cs="Times New Roman"/>
          <w:b/>
          <w:bCs/>
        </w:rPr>
        <w:t>. 9.</w:t>
      </w:r>
      <w:r w:rsidRPr="003E25BC">
        <w:rPr>
          <w:rFonts w:ascii="Times New Roman" w:hAnsi="Times New Roman" w:cs="Times New Roman"/>
          <w:b/>
          <w:bCs/>
        </w:rPr>
        <w:t xml:space="preserve"> </w:t>
      </w:r>
      <w:r w:rsidR="004D22DD" w:rsidRPr="003E25BC">
        <w:rPr>
          <w:rFonts w:ascii="Times New Roman" w:hAnsi="Times New Roman" w:cs="Times New Roman"/>
          <w:bCs/>
          <w:color w:val="020202"/>
          <w:szCs w:val="22"/>
        </w:rPr>
        <w:t xml:space="preserve">Распределение ответов на вопрос: </w:t>
      </w:r>
      <w:r w:rsidR="004D22DD" w:rsidRPr="003E25BC">
        <w:rPr>
          <w:rFonts w:ascii="Times New Roman" w:hAnsi="Times New Roman" w:cs="Times New Roman"/>
          <w:b/>
          <w:bCs/>
          <w:color w:val="020202"/>
          <w:szCs w:val="22"/>
        </w:rPr>
        <w:t>«</w:t>
      </w:r>
      <w:r w:rsidRPr="003E25BC">
        <w:rPr>
          <w:rFonts w:ascii="Times New Roman" w:hAnsi="Times New Roman" w:cs="Times New Roman"/>
          <w:b/>
          <w:bCs/>
        </w:rPr>
        <w:t>Знаете ли Вы, как формируется Ваша пенсия и из чего она состоит?</w:t>
      </w:r>
      <w:r w:rsidR="004D22DD" w:rsidRPr="003E25BC">
        <w:rPr>
          <w:rFonts w:ascii="Times New Roman" w:hAnsi="Times New Roman" w:cs="Times New Roman"/>
          <w:b/>
          <w:bCs/>
        </w:rPr>
        <w:t>»</w:t>
      </w:r>
      <w:r w:rsidRPr="003E25BC">
        <w:rPr>
          <w:rFonts w:ascii="Times New Roman" w:hAnsi="Times New Roman" w:cs="Times New Roman"/>
          <w:b/>
          <w:bCs/>
        </w:rPr>
        <w:t xml:space="preserve"> % </w:t>
      </w:r>
    </w:p>
    <w:p w14:paraId="06DAE693" w14:textId="77777777" w:rsidR="00585FDD" w:rsidRDefault="00B76750" w:rsidP="00060243">
      <w:r w:rsidRPr="00B76750">
        <w:rPr>
          <w:noProof/>
        </w:rPr>
        <w:drawing>
          <wp:inline distT="0" distB="0" distL="0" distR="0" wp14:anchorId="2230995A" wp14:editId="3D77CAB7">
            <wp:extent cx="6217920" cy="3116911"/>
            <wp:effectExtent l="0" t="0" r="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6CC3DB7" w14:textId="77777777" w:rsidR="00B76750" w:rsidRPr="003E25BC" w:rsidRDefault="00B76750" w:rsidP="00B76750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Только 20% </w:t>
      </w:r>
      <w:r w:rsidR="00DE1F19" w:rsidRPr="003E25BC">
        <w:rPr>
          <w:rFonts w:ascii="Times New Roman" w:hAnsi="Times New Roman" w:cs="Times New Roman"/>
        </w:rPr>
        <w:t xml:space="preserve">наших сограждан </w:t>
      </w:r>
      <w:r w:rsidRPr="003E25BC">
        <w:rPr>
          <w:rFonts w:ascii="Times New Roman" w:hAnsi="Times New Roman" w:cs="Times New Roman"/>
        </w:rPr>
        <w:t xml:space="preserve">знают о влиянии на пенсию выбранного варианта пенсионного обеспечения в системе </w:t>
      </w:r>
      <w:r w:rsidR="00DE1F19" w:rsidRPr="003E25BC">
        <w:rPr>
          <w:rFonts w:ascii="Times New Roman" w:hAnsi="Times New Roman" w:cs="Times New Roman"/>
        </w:rPr>
        <w:t>ОПС</w:t>
      </w:r>
      <w:r w:rsidR="00A65B5A" w:rsidRPr="003E25BC">
        <w:rPr>
          <w:rStyle w:val="ac"/>
          <w:rFonts w:ascii="Times New Roman" w:hAnsi="Times New Roman" w:cs="Times New Roman"/>
        </w:rPr>
        <w:footnoteReference w:id="18"/>
      </w:r>
    </w:p>
    <w:p w14:paraId="346864AE" w14:textId="77777777" w:rsidR="004D22DD" w:rsidRPr="003E25BC" w:rsidRDefault="004D22DD" w:rsidP="004D22DD">
      <w:pPr>
        <w:keepNext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  <w:bCs/>
        </w:rPr>
        <w:lastRenderedPageBreak/>
        <w:t>Рис</w:t>
      </w:r>
      <w:r w:rsidR="006C0FE2" w:rsidRPr="003E25BC">
        <w:rPr>
          <w:rFonts w:ascii="Times New Roman" w:hAnsi="Times New Roman" w:cs="Times New Roman"/>
          <w:b/>
          <w:bCs/>
        </w:rPr>
        <w:t>. 10.</w:t>
      </w:r>
      <w:r w:rsidRPr="003E25BC">
        <w:rPr>
          <w:rFonts w:ascii="Times New Roman" w:hAnsi="Times New Roman" w:cs="Times New Roman"/>
          <w:b/>
          <w:bCs/>
        </w:rPr>
        <w:t xml:space="preserve"> </w:t>
      </w:r>
      <w:r w:rsidRPr="003E25BC">
        <w:rPr>
          <w:rFonts w:ascii="Times New Roman" w:hAnsi="Times New Roman" w:cs="Times New Roman"/>
          <w:bCs/>
          <w:color w:val="020202"/>
          <w:szCs w:val="22"/>
        </w:rPr>
        <w:t xml:space="preserve">Распределение ответов на вопрос: </w:t>
      </w: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t>«</w:t>
      </w:r>
      <w:r w:rsidRPr="003E25BC">
        <w:rPr>
          <w:rFonts w:ascii="Times New Roman" w:hAnsi="Times New Roman" w:cs="Times New Roman"/>
          <w:b/>
          <w:bCs/>
        </w:rPr>
        <w:t xml:space="preserve">Какие факторы напрямую влияют на размер пенсии в действующей в РФ пенсионной системе?» % </w:t>
      </w:r>
    </w:p>
    <w:p w14:paraId="23EB40D4" w14:textId="77777777" w:rsidR="00B76750" w:rsidRDefault="004D22DD" w:rsidP="004D22DD">
      <w:r w:rsidRPr="004D22DD">
        <w:rPr>
          <w:noProof/>
        </w:rPr>
        <w:drawing>
          <wp:inline distT="0" distB="0" distL="0" distR="0" wp14:anchorId="37A8B116" wp14:editId="5D9E7454">
            <wp:extent cx="6152515" cy="5176299"/>
            <wp:effectExtent l="0" t="0" r="635" b="57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322C1C9" w14:textId="77777777" w:rsidR="006F6F09" w:rsidRDefault="006F6F09" w:rsidP="00CA5143"/>
    <w:p w14:paraId="3770FB69" w14:textId="77777777" w:rsidR="00CA5143" w:rsidRPr="003E25BC" w:rsidRDefault="00640F1A" w:rsidP="00CA5143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Низкая заинтересованность граждан в использовании </w:t>
      </w:r>
      <w:r w:rsidR="00807FDA" w:rsidRPr="003E25BC">
        <w:rPr>
          <w:rFonts w:ascii="Times New Roman" w:hAnsi="Times New Roman" w:cs="Times New Roman"/>
        </w:rPr>
        <w:t>негосударственных пенсионных фондов</w:t>
      </w:r>
      <w:r w:rsidRPr="003E25BC">
        <w:rPr>
          <w:rFonts w:ascii="Times New Roman" w:hAnsi="Times New Roman" w:cs="Times New Roman"/>
        </w:rPr>
        <w:t xml:space="preserve"> для формирования </w:t>
      </w:r>
      <w:r w:rsidR="00807FDA" w:rsidRPr="003E25BC">
        <w:rPr>
          <w:rFonts w:ascii="Times New Roman" w:hAnsi="Times New Roman" w:cs="Times New Roman"/>
        </w:rPr>
        <w:t xml:space="preserve">своих </w:t>
      </w:r>
      <w:r w:rsidRPr="003E25BC">
        <w:rPr>
          <w:rFonts w:ascii="Times New Roman" w:hAnsi="Times New Roman" w:cs="Times New Roman"/>
        </w:rPr>
        <w:t xml:space="preserve">пенсионных накоплений, связана не только с отсутствием </w:t>
      </w:r>
      <w:r w:rsidR="00807FDA" w:rsidRPr="003E25BC">
        <w:rPr>
          <w:rFonts w:ascii="Times New Roman" w:hAnsi="Times New Roman" w:cs="Times New Roman"/>
        </w:rPr>
        <w:t xml:space="preserve">у них </w:t>
      </w:r>
      <w:r w:rsidRPr="003E25BC">
        <w:rPr>
          <w:rFonts w:ascii="Times New Roman" w:hAnsi="Times New Roman" w:cs="Times New Roman"/>
        </w:rPr>
        <w:t xml:space="preserve">знаний о механизмах российской пенсионной системы, но и </w:t>
      </w:r>
      <w:r w:rsidR="00807FDA" w:rsidRPr="003E25BC">
        <w:rPr>
          <w:rFonts w:ascii="Times New Roman" w:hAnsi="Times New Roman" w:cs="Times New Roman"/>
        </w:rPr>
        <w:t>с низким уровнем</w:t>
      </w:r>
      <w:r w:rsidRPr="003E25BC">
        <w:rPr>
          <w:rFonts w:ascii="Times New Roman" w:hAnsi="Times New Roman" w:cs="Times New Roman"/>
        </w:rPr>
        <w:t xml:space="preserve"> доверия </w:t>
      </w:r>
      <w:r w:rsidR="00807FDA" w:rsidRPr="003E25BC">
        <w:rPr>
          <w:rFonts w:ascii="Times New Roman" w:hAnsi="Times New Roman" w:cs="Times New Roman"/>
        </w:rPr>
        <w:t>и постоянных изменений в регулировании пенсионной системы</w:t>
      </w:r>
      <w:r w:rsidR="00CA5143" w:rsidRPr="003E25BC">
        <w:rPr>
          <w:rFonts w:ascii="Times New Roman" w:hAnsi="Times New Roman" w:cs="Times New Roman"/>
        </w:rPr>
        <w:t>. Согласно данным НАФИ, 79% считают бессмысленным планирование будущей пенсии в связи с возможными изменениями законодательства</w:t>
      </w:r>
      <w:r w:rsidRPr="003E25BC">
        <w:rPr>
          <w:rFonts w:ascii="Times New Roman" w:hAnsi="Times New Roman" w:cs="Times New Roman"/>
        </w:rPr>
        <w:t>.</w:t>
      </w:r>
    </w:p>
    <w:p w14:paraId="0469B840" w14:textId="77777777" w:rsidR="00CA5143" w:rsidRPr="003E25BC" w:rsidRDefault="00CA5143" w:rsidP="00CA5143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  <w:bCs/>
        </w:rPr>
        <w:t>Рис</w:t>
      </w:r>
      <w:r w:rsidR="006C0FE2" w:rsidRPr="003E25BC">
        <w:rPr>
          <w:rFonts w:ascii="Times New Roman" w:hAnsi="Times New Roman" w:cs="Times New Roman"/>
          <w:b/>
          <w:bCs/>
        </w:rPr>
        <w:t>. 11.</w:t>
      </w:r>
      <w:r w:rsidRPr="003E25BC">
        <w:rPr>
          <w:rFonts w:ascii="Times New Roman" w:hAnsi="Times New Roman" w:cs="Times New Roman"/>
          <w:b/>
          <w:bCs/>
        </w:rPr>
        <w:t xml:space="preserve"> </w:t>
      </w:r>
      <w:r w:rsidRPr="003E25BC">
        <w:rPr>
          <w:rFonts w:ascii="Times New Roman" w:hAnsi="Times New Roman" w:cs="Times New Roman"/>
          <w:bCs/>
          <w:color w:val="020202"/>
          <w:szCs w:val="22"/>
        </w:rPr>
        <w:t xml:space="preserve">Распределение ответов на вопрос: </w:t>
      </w:r>
      <w:r w:rsidRPr="003E25BC">
        <w:rPr>
          <w:rFonts w:ascii="Times New Roman" w:hAnsi="Times New Roman" w:cs="Times New Roman"/>
          <w:b/>
          <w:bCs/>
          <w:color w:val="020202"/>
          <w:szCs w:val="22"/>
        </w:rPr>
        <w:t>«</w:t>
      </w:r>
      <w:r w:rsidRPr="003E25BC">
        <w:rPr>
          <w:rFonts w:ascii="Times New Roman" w:hAnsi="Times New Roman" w:cs="Times New Roman"/>
          <w:b/>
          <w:bCs/>
        </w:rPr>
        <w:t xml:space="preserve">Скажите, согласны ли Вы со следующими утверждениями? </w:t>
      </w:r>
      <w:r w:rsidRPr="003E25BC">
        <w:rPr>
          <w:rFonts w:ascii="Times New Roman" w:hAnsi="Times New Roman" w:cs="Times New Roman"/>
          <w:bCs/>
        </w:rPr>
        <w:t>% согласных</w:t>
      </w:r>
      <w:r w:rsidRPr="003E25BC">
        <w:rPr>
          <w:rFonts w:ascii="Times New Roman" w:hAnsi="Times New Roman" w:cs="Times New Roman"/>
          <w:b/>
          <w:bCs/>
        </w:rPr>
        <w:t xml:space="preserve"> </w:t>
      </w:r>
    </w:p>
    <w:p w14:paraId="66CE1F34" w14:textId="77777777" w:rsidR="00CA5143" w:rsidRDefault="00CA5143" w:rsidP="00CA5143">
      <w:r w:rsidRPr="00CA5143">
        <w:rPr>
          <w:noProof/>
        </w:rPr>
        <w:lastRenderedPageBreak/>
        <w:drawing>
          <wp:inline distT="0" distB="0" distL="0" distR="0" wp14:anchorId="22E1A477" wp14:editId="456F3CED">
            <wp:extent cx="5986780" cy="2687541"/>
            <wp:effectExtent l="0" t="0" r="13970" b="177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C8FF153" w14:textId="77777777" w:rsidR="004D22DD" w:rsidRPr="003E25BC" w:rsidRDefault="00BF119E" w:rsidP="004D22D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По данным НАФИ</w:t>
      </w:r>
      <w:r w:rsidR="006F6F09" w:rsidRPr="003E25BC">
        <w:rPr>
          <w:rFonts w:ascii="Times New Roman" w:hAnsi="Times New Roman" w:cs="Times New Roman"/>
        </w:rPr>
        <w:t>,</w:t>
      </w:r>
      <w:r w:rsidRPr="003E25BC">
        <w:rPr>
          <w:rFonts w:ascii="Times New Roman" w:hAnsi="Times New Roman" w:cs="Times New Roman"/>
        </w:rPr>
        <w:t xml:space="preserve"> уровень доверия к </w:t>
      </w:r>
      <w:r w:rsidR="00807FDA" w:rsidRPr="003E25BC">
        <w:rPr>
          <w:rFonts w:ascii="Times New Roman" w:hAnsi="Times New Roman" w:cs="Times New Roman"/>
        </w:rPr>
        <w:t>негосударственным пенсионным фондам, как к финансовому институту</w:t>
      </w:r>
      <w:r w:rsidRPr="003E25BC">
        <w:rPr>
          <w:rFonts w:ascii="Times New Roman" w:hAnsi="Times New Roman" w:cs="Times New Roman"/>
        </w:rPr>
        <w:t xml:space="preserve"> среди россиян довольно низкий. На текущий момент </w:t>
      </w:r>
      <w:r w:rsidR="00807FDA" w:rsidRPr="003E25BC">
        <w:rPr>
          <w:rFonts w:ascii="Times New Roman" w:hAnsi="Times New Roman" w:cs="Times New Roman"/>
        </w:rPr>
        <w:t xml:space="preserve">НПФ </w:t>
      </w:r>
      <w:r w:rsidRPr="003E25BC">
        <w:rPr>
          <w:rFonts w:ascii="Times New Roman" w:hAnsi="Times New Roman" w:cs="Times New Roman"/>
        </w:rPr>
        <w:t xml:space="preserve">доверяет лишь каждый четвёртый. Ниже уровень доверия только у инвестиционных компаний (18%) и </w:t>
      </w:r>
      <w:proofErr w:type="spellStart"/>
      <w:r w:rsidRPr="003E25BC">
        <w:rPr>
          <w:rFonts w:ascii="Times New Roman" w:hAnsi="Times New Roman" w:cs="Times New Roman"/>
        </w:rPr>
        <w:t>микрофинансовых</w:t>
      </w:r>
      <w:proofErr w:type="spellEnd"/>
      <w:r w:rsidRPr="003E25BC">
        <w:rPr>
          <w:rFonts w:ascii="Times New Roman" w:hAnsi="Times New Roman" w:cs="Times New Roman"/>
        </w:rPr>
        <w:t xml:space="preserve"> организаций (8%). Вместе с тем, </w:t>
      </w:r>
      <w:r w:rsidR="00807FDA" w:rsidRPr="003E25BC">
        <w:rPr>
          <w:rFonts w:ascii="Times New Roman" w:hAnsi="Times New Roman" w:cs="Times New Roman"/>
        </w:rPr>
        <w:t>авторитет</w:t>
      </w:r>
      <w:r w:rsidRPr="003E25BC">
        <w:rPr>
          <w:rFonts w:ascii="Times New Roman" w:hAnsi="Times New Roman" w:cs="Times New Roman"/>
        </w:rPr>
        <w:t xml:space="preserve"> НПФ в России постепенно </w:t>
      </w:r>
      <w:r w:rsidR="00807FDA" w:rsidRPr="003E25BC">
        <w:rPr>
          <w:rFonts w:ascii="Times New Roman" w:hAnsi="Times New Roman" w:cs="Times New Roman"/>
        </w:rPr>
        <w:t>растёт</w:t>
      </w:r>
      <w:r w:rsidRPr="003E25BC">
        <w:rPr>
          <w:rFonts w:ascii="Times New Roman" w:hAnsi="Times New Roman" w:cs="Times New Roman"/>
        </w:rPr>
        <w:t xml:space="preserve">: с </w:t>
      </w:r>
      <w:r w:rsidR="00807FDA" w:rsidRPr="003E25BC">
        <w:rPr>
          <w:rFonts w:ascii="Times New Roman" w:hAnsi="Times New Roman" w:cs="Times New Roman"/>
        </w:rPr>
        <w:t>2012 г. он вырос на 5%.</w:t>
      </w:r>
    </w:p>
    <w:p w14:paraId="0929B20E" w14:textId="77777777" w:rsidR="00640F1A" w:rsidRPr="003E25BC" w:rsidRDefault="00BF119E" w:rsidP="00640F1A">
      <w:pPr>
        <w:pStyle w:val="a0"/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  <w:b/>
          <w:bCs/>
        </w:rPr>
        <w:t>Рис</w:t>
      </w:r>
      <w:r w:rsidR="006C0FE2" w:rsidRPr="003E25BC">
        <w:rPr>
          <w:rFonts w:ascii="Times New Roman" w:hAnsi="Times New Roman" w:cs="Times New Roman"/>
          <w:b/>
          <w:bCs/>
        </w:rPr>
        <w:t>. 12.</w:t>
      </w:r>
      <w:r w:rsidRPr="003E25BC">
        <w:rPr>
          <w:rFonts w:ascii="Times New Roman" w:hAnsi="Times New Roman" w:cs="Times New Roman"/>
          <w:b/>
          <w:bCs/>
        </w:rPr>
        <w:t xml:space="preserve"> </w:t>
      </w:r>
      <w:r w:rsidR="00640F1A" w:rsidRPr="003E25BC">
        <w:rPr>
          <w:rFonts w:ascii="Times New Roman" w:hAnsi="Times New Roman" w:cs="Times New Roman"/>
        </w:rPr>
        <w:t>Распределение ответов на вопрос:</w:t>
      </w:r>
      <w:r w:rsidR="00640F1A" w:rsidRPr="003E25BC">
        <w:rPr>
          <w:rFonts w:ascii="Times New Roman" w:hAnsi="Times New Roman" w:cs="Times New Roman"/>
          <w:b/>
        </w:rPr>
        <w:t xml:space="preserve"> «Скажите, пожалуйста, насколько вы доверяете следующим финансовым организациям?»</w:t>
      </w:r>
      <w:r w:rsidR="00640F1A" w:rsidRPr="003E25BC">
        <w:rPr>
          <w:rFonts w:ascii="Times New Roman" w:hAnsi="Times New Roman" w:cs="Times New Roman"/>
        </w:rPr>
        <w:t xml:space="preserve">, % </w:t>
      </w:r>
      <w:proofErr w:type="gramStart"/>
      <w:r w:rsidR="00640F1A" w:rsidRPr="003E25BC">
        <w:rPr>
          <w:rFonts w:ascii="Times New Roman" w:hAnsi="Times New Roman" w:cs="Times New Roman"/>
        </w:rPr>
        <w:t>опрошенных</w:t>
      </w:r>
      <w:proofErr w:type="gramEnd"/>
      <w:r w:rsidR="00640F1A" w:rsidRPr="003E25BC">
        <w:rPr>
          <w:rFonts w:ascii="Times New Roman" w:hAnsi="Times New Roman" w:cs="Times New Roman"/>
        </w:rPr>
        <w:t xml:space="preserve">, выбравших ответы «полностью доверяю» и «скорее доверяю» </w:t>
      </w:r>
    </w:p>
    <w:p w14:paraId="1FA07FB5" w14:textId="77777777" w:rsidR="00640F1A" w:rsidRDefault="00640F1A" w:rsidP="00640F1A">
      <w:pPr>
        <w:pStyle w:val="a0"/>
      </w:pPr>
      <w:r>
        <w:rPr>
          <w:noProof/>
        </w:rPr>
        <w:drawing>
          <wp:inline distT="0" distB="0" distL="0" distR="0" wp14:anchorId="578125D1" wp14:editId="109494FA">
            <wp:extent cx="5987333" cy="3200400"/>
            <wp:effectExtent l="0" t="0" r="1397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B4FF434" w14:textId="77777777" w:rsidR="004D22DD" w:rsidRDefault="004D22DD" w:rsidP="004D22DD"/>
    <w:p w14:paraId="75586A98" w14:textId="77777777" w:rsidR="00853C8D" w:rsidRPr="003E25BC" w:rsidRDefault="00807FDA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lastRenderedPageBreak/>
        <w:t>С</w:t>
      </w:r>
      <w:r w:rsidR="00853C8D" w:rsidRPr="003E25BC">
        <w:rPr>
          <w:rFonts w:ascii="Times New Roman" w:hAnsi="Times New Roman" w:cs="Times New Roman"/>
        </w:rPr>
        <w:t>кептически оценивает желание населения участвовать в самостоятельном формировании своей будущей пенсии</w:t>
      </w:r>
      <w:r w:rsidR="00853C8D" w:rsidRPr="003E25BC">
        <w:rPr>
          <w:rFonts w:ascii="Times New Roman" w:hAnsi="Times New Roman" w:cs="Times New Roman"/>
          <w:vertAlign w:val="superscript"/>
        </w:rPr>
        <w:footnoteReference w:id="19"/>
      </w:r>
      <w:r w:rsidR="00420962" w:rsidRPr="003E25BC">
        <w:rPr>
          <w:rFonts w:ascii="Times New Roman" w:hAnsi="Times New Roman" w:cs="Times New Roman"/>
        </w:rPr>
        <w:t xml:space="preserve"> и экспертное сообщество</w:t>
      </w:r>
      <w:r w:rsidR="00853C8D" w:rsidRPr="003E25BC">
        <w:rPr>
          <w:rFonts w:ascii="Times New Roman" w:hAnsi="Times New Roman" w:cs="Times New Roman"/>
        </w:rPr>
        <w:t xml:space="preserve">. Так, Алексей Кудрин прогнозирует долю участников в новой системе добровольных пенсионных накоплений на уровне 25-30% граждан, президент Национальной ассоциации пенсионных фондов (НАПФ) Константин Угрюмов – на уровне 10-50%, </w:t>
      </w:r>
      <w:proofErr w:type="gramStart"/>
      <w:r w:rsidR="00853C8D" w:rsidRPr="003E25BC">
        <w:rPr>
          <w:rFonts w:ascii="Times New Roman" w:hAnsi="Times New Roman" w:cs="Times New Roman"/>
        </w:rPr>
        <w:t>а</w:t>
      </w:r>
      <w:proofErr w:type="gramEnd"/>
      <w:r w:rsidR="00853C8D" w:rsidRPr="003E25BC">
        <w:rPr>
          <w:rFonts w:ascii="Times New Roman" w:hAnsi="Times New Roman" w:cs="Times New Roman"/>
        </w:rPr>
        <w:t xml:space="preserve"> по мнению Сергея Белякова из АНПФ, количество таких людей после начала функционирования программы будет стремиться к нулю. Более того, согласно оценкам экспертов, реформа пенсионной системы может привести к резкому сокращению количества граждан, которые не только пытались увеличить свою будущую пенсию за счет пенсионных накоплений, но и обеспечивали экономику длинными деньгами</w:t>
      </w:r>
      <w:r w:rsidR="00853C8D" w:rsidRPr="003E25BC">
        <w:rPr>
          <w:rFonts w:ascii="Times New Roman" w:hAnsi="Times New Roman" w:cs="Times New Roman"/>
          <w:vertAlign w:val="superscript"/>
        </w:rPr>
        <w:footnoteReference w:id="20"/>
      </w:r>
      <w:r w:rsidR="00853C8D" w:rsidRPr="003E25BC">
        <w:rPr>
          <w:rFonts w:ascii="Times New Roman" w:hAnsi="Times New Roman" w:cs="Times New Roman"/>
        </w:rPr>
        <w:t>.</w:t>
      </w:r>
    </w:p>
    <w:p w14:paraId="5BFE4539" w14:textId="77777777" w:rsidR="006F6F09" w:rsidRPr="003E25BC" w:rsidRDefault="006F6F09" w:rsidP="00853C8D">
      <w:pPr>
        <w:rPr>
          <w:rFonts w:ascii="Times New Roman" w:hAnsi="Times New Roman" w:cs="Times New Roman"/>
        </w:rPr>
      </w:pPr>
    </w:p>
    <w:p w14:paraId="44B28D39" w14:textId="77777777" w:rsidR="00853C8D" w:rsidRPr="003E25BC" w:rsidRDefault="00853C8D" w:rsidP="00853C8D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 xml:space="preserve">Таким образом, </w:t>
      </w:r>
      <w:r w:rsidRPr="003E25BC">
        <w:rPr>
          <w:rFonts w:ascii="Times New Roman" w:hAnsi="Times New Roman" w:cs="Times New Roman"/>
          <w:b/>
        </w:rPr>
        <w:t>возможность введения дополнительных пенсионных отчислений из заработной платы россиян и, что немаловажно, готовность населения по их осуществлению оцениваются как невысокие</w:t>
      </w:r>
      <w:r w:rsidRPr="003E25BC">
        <w:rPr>
          <w:rFonts w:ascii="Times New Roman" w:hAnsi="Times New Roman" w:cs="Times New Roman"/>
        </w:rPr>
        <w:t>.</w:t>
      </w:r>
    </w:p>
    <w:p w14:paraId="10E0A4AB" w14:textId="77777777" w:rsidR="006C0FE2" w:rsidRPr="003E25BC" w:rsidRDefault="006C0FE2" w:rsidP="006C0FE2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Высокая подверженность пенсионной системы в России демографическим и финансовым рискам потребует оперативных решений, без которых могут существенно вырасти риски социальной напряженности, а устойчивость пенсионной системы и бюджета − снизиться.</w:t>
      </w:r>
    </w:p>
    <w:p w14:paraId="1519E940" w14:textId="77777777" w:rsidR="004717A9" w:rsidRPr="003E25BC" w:rsidRDefault="006C0FE2" w:rsidP="004717A9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Отказ от обязательного формирования пенсионных накоплений на фоне низкой склонности россиян к сбережениям, а также предполагаемое изменение источника финансирования накоплений на фоне снижения благосостояния граждан способны свести на нет усилия властей по созданию индивидуального пенсионного капитала.</w:t>
      </w:r>
    </w:p>
    <w:p w14:paraId="1E15E769" w14:textId="77777777" w:rsidR="00814490" w:rsidRPr="003E25BC" w:rsidRDefault="00814490" w:rsidP="00814490">
      <w:pPr>
        <w:rPr>
          <w:rFonts w:ascii="Times New Roman" w:hAnsi="Times New Roman" w:cs="Times New Roman"/>
        </w:rPr>
      </w:pPr>
      <w:r w:rsidRPr="003E25BC">
        <w:rPr>
          <w:rFonts w:ascii="Times New Roman" w:hAnsi="Times New Roman" w:cs="Times New Roman"/>
        </w:rPr>
        <w:t>Наиболее реалистичным может стать компромиссный вариант пенсионной реформы, предполагающий как создание экономических стимулов для формирования индивидуальных накоплений из заработной платы, так и отмену мораториев на формирование новых накоплений в рамках ОПС и их направление в ИПК. При этом возможно временное снижение уровня отчислений в кризисный период для фондирования распределительных пенсий. Такой шаг будет свидетельствовать о работоспособности системы и повысит доверие граждан к решениям, принимаемым Правительством в пенсионной сфере, а также сможет создать почву для более активного и осознанного участия граждан во всех уровнях формирования своих пенсионных прав.</w:t>
      </w:r>
    </w:p>
    <w:p w14:paraId="495B7299" w14:textId="77777777" w:rsidR="00814490" w:rsidRPr="003E25BC" w:rsidRDefault="00814490" w:rsidP="004717A9">
      <w:pPr>
        <w:rPr>
          <w:rFonts w:ascii="Times New Roman" w:hAnsi="Times New Roman" w:cs="Times New Roman"/>
        </w:rPr>
      </w:pPr>
    </w:p>
    <w:sectPr w:rsidR="00814490" w:rsidRPr="003E25B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3DB3C" w14:textId="77777777" w:rsidR="00085D60" w:rsidRDefault="00085D60" w:rsidP="004717A9">
      <w:r>
        <w:separator/>
      </w:r>
    </w:p>
  </w:endnote>
  <w:endnote w:type="continuationSeparator" w:id="0">
    <w:p w14:paraId="10C6F299" w14:textId="77777777" w:rsidR="00085D60" w:rsidRDefault="00085D60" w:rsidP="004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F0326" w14:textId="77777777" w:rsidR="00085D60" w:rsidRDefault="00085D60" w:rsidP="004717A9">
      <w:r>
        <w:separator/>
      </w:r>
    </w:p>
  </w:footnote>
  <w:footnote w:type="continuationSeparator" w:id="0">
    <w:p w14:paraId="5CBCA821" w14:textId="77777777" w:rsidR="00085D60" w:rsidRDefault="00085D60" w:rsidP="004717A9">
      <w:r>
        <w:continuationSeparator/>
      </w:r>
    </w:p>
  </w:footnote>
  <w:footnote w:id="1">
    <w:p w14:paraId="569F55CC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1" w:history="1">
        <w:r w:rsidRPr="003E25BC">
          <w:rPr>
            <w:rStyle w:val="ad"/>
            <w:rFonts w:ascii="Times New Roman" w:hAnsi="Times New Roman" w:cs="Times New Roman"/>
          </w:rPr>
          <w:t>http://www.pfrf.ru/info/order/budzhet_pfr/~2531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2">
    <w:p w14:paraId="39AB456B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2" w:history="1">
        <w:r w:rsidRPr="003E25BC">
          <w:rPr>
            <w:rStyle w:val="ad"/>
            <w:rFonts w:ascii="Times New Roman" w:hAnsi="Times New Roman" w:cs="Times New Roman"/>
          </w:rPr>
          <w:t>http://ria.ru/politics/20151209/1339015299.html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3">
    <w:p w14:paraId="7A92F4FB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3" w:history="1">
        <w:r w:rsidRPr="003E25BC">
          <w:rPr>
            <w:rStyle w:val="ad"/>
            <w:rFonts w:ascii="Times New Roman" w:hAnsi="Times New Roman" w:cs="Times New Roman"/>
          </w:rPr>
          <w:t>http://tass.ru/pmef-2016/article/3370274</w:t>
        </w:r>
      </w:hyperlink>
      <w:r w:rsidRPr="003E25BC">
        <w:rPr>
          <w:rFonts w:ascii="Times New Roman" w:hAnsi="Times New Roman" w:cs="Times New Roman"/>
        </w:rPr>
        <w:t xml:space="preserve"> </w:t>
      </w:r>
      <w:r w:rsidRPr="003E25BC">
        <w:rPr>
          <w:rFonts w:ascii="Times New Roman" w:hAnsi="Times New Roman" w:cs="Times New Roman"/>
        </w:rPr>
        <w:tab/>
      </w:r>
    </w:p>
  </w:footnote>
  <w:footnote w:id="4">
    <w:p w14:paraId="72CD3C96" w14:textId="77777777" w:rsidR="006C0FE2" w:rsidRPr="004717A9" w:rsidRDefault="006C0FE2" w:rsidP="004717A9">
      <w:pPr>
        <w:pStyle w:val="a9"/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Данные за 2016-2017 гг. являются прогнозными.</w:t>
      </w:r>
    </w:p>
  </w:footnote>
  <w:footnote w:id="5">
    <w:p w14:paraId="469A4CFD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4" w:history="1">
        <w:r w:rsidRPr="003E25BC">
          <w:rPr>
            <w:rStyle w:val="ad"/>
            <w:rFonts w:ascii="Times New Roman" w:hAnsi="Times New Roman" w:cs="Times New Roman"/>
          </w:rPr>
          <w:t>https://rg.ru/2016/05/19/pochemu-pensionnaia-sistema-ezhegodno-teriaet-trilliony-rublej.html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6">
    <w:p w14:paraId="2888618D" w14:textId="77777777" w:rsidR="006C0FE2" w:rsidRPr="004717A9" w:rsidRDefault="006C0FE2" w:rsidP="004717A9">
      <w:pPr>
        <w:pStyle w:val="a9"/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5" w:history="1">
        <w:r w:rsidRPr="003E25BC">
          <w:rPr>
            <w:rStyle w:val="ad"/>
            <w:rFonts w:ascii="Times New Roman" w:hAnsi="Times New Roman" w:cs="Times New Roman"/>
          </w:rPr>
          <w:t>http://www.lerc.ru/?part=articles&amp;art=18&amp;page=13</w:t>
        </w:r>
      </w:hyperlink>
      <w:r w:rsidRPr="004717A9">
        <w:t xml:space="preserve"> </w:t>
      </w:r>
    </w:p>
  </w:footnote>
  <w:footnote w:id="7">
    <w:p w14:paraId="13131752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Данные за 2015 г. являются предварительными.</w:t>
      </w:r>
    </w:p>
  </w:footnote>
  <w:footnote w:id="8">
    <w:p w14:paraId="5E726800" w14:textId="77777777" w:rsidR="006C0FE2" w:rsidRPr="004717A9" w:rsidRDefault="006C0FE2" w:rsidP="00420962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6" w:history="1">
        <w:r w:rsidRPr="003E25BC">
          <w:rPr>
            <w:rStyle w:val="ad"/>
            <w:rFonts w:ascii="Times New Roman" w:hAnsi="Times New Roman" w:cs="Times New Roman"/>
          </w:rPr>
          <w:t>http://www.rbc.ru/money/29/04/2016/5722b5109a79473510f5289d</w:t>
        </w:r>
      </w:hyperlink>
      <w:r w:rsidRPr="004717A9">
        <w:rPr>
          <w:rFonts w:ascii="Times New Roman" w:hAnsi="Times New Roman" w:cs="Times New Roman"/>
        </w:rPr>
        <w:t xml:space="preserve"> </w:t>
      </w:r>
    </w:p>
  </w:footnote>
  <w:footnote w:id="9">
    <w:p w14:paraId="660C9F37" w14:textId="77777777" w:rsidR="006C0FE2" w:rsidRPr="003E25BC" w:rsidRDefault="006C0FE2" w:rsidP="004717A9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Мужчины в возрасте 60 лет и старше, женщины - 55 лет и старше.</w:t>
      </w:r>
    </w:p>
  </w:footnote>
  <w:footnote w:id="10">
    <w:p w14:paraId="0D44EB4F" w14:textId="77777777" w:rsidR="006C0FE2" w:rsidRPr="004717A9" w:rsidRDefault="006C0FE2" w:rsidP="004717A9">
      <w:pPr>
        <w:pStyle w:val="a9"/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Данные за 2015 г. являются предварительными.</w:t>
      </w:r>
    </w:p>
  </w:footnote>
  <w:footnote w:id="11">
    <w:p w14:paraId="2803DF83" w14:textId="77777777" w:rsidR="006C0FE2" w:rsidRPr="003E25BC" w:rsidRDefault="006C0FE2" w:rsidP="007E47D1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7" w:history="1">
        <w:r w:rsidRPr="003E25BC">
          <w:rPr>
            <w:rStyle w:val="ad"/>
            <w:rFonts w:ascii="Times New Roman" w:hAnsi="Times New Roman" w:cs="Times New Roman"/>
          </w:rPr>
          <w:t>https://www.gazeta.ru/business/2016/03/22/8136947.shtml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12">
    <w:p w14:paraId="37A265B4" w14:textId="77777777" w:rsidR="006C0FE2" w:rsidRDefault="006C0FE2" w:rsidP="004717A9">
      <w:pPr>
        <w:pStyle w:val="a9"/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8" w:history="1">
        <w:r w:rsidRPr="003E25BC">
          <w:rPr>
            <w:rStyle w:val="ad"/>
            <w:rFonts w:ascii="Times New Roman" w:hAnsi="Times New Roman" w:cs="Times New Roman"/>
          </w:rPr>
          <w:t>Ссылка</w:t>
        </w:r>
      </w:hyperlink>
    </w:p>
  </w:footnote>
  <w:footnote w:id="13">
    <w:p w14:paraId="6C247E4F" w14:textId="77777777" w:rsidR="006C0FE2" w:rsidRPr="003E25BC" w:rsidRDefault="006C0FE2" w:rsidP="00853C8D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9" w:history="1">
        <w:r w:rsidRPr="003E25BC">
          <w:rPr>
            <w:rStyle w:val="ad"/>
            <w:rFonts w:ascii="Times New Roman" w:hAnsi="Times New Roman" w:cs="Times New Roman"/>
          </w:rPr>
          <w:t>http://kommersant.ru/doc/2975525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14">
    <w:p w14:paraId="4F0E8752" w14:textId="77777777" w:rsidR="006C0FE2" w:rsidRPr="003E25BC" w:rsidRDefault="006C0FE2" w:rsidP="00853C8D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10" w:history="1">
        <w:r w:rsidRPr="003E25BC">
          <w:rPr>
            <w:rStyle w:val="ad"/>
            <w:rFonts w:ascii="Times New Roman" w:hAnsi="Times New Roman" w:cs="Times New Roman"/>
          </w:rPr>
          <w:t>http://vz.ru/economy/2016/3/25/801657.html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15">
    <w:p w14:paraId="7B6A40E8" w14:textId="77777777" w:rsidR="006C0FE2" w:rsidRPr="00C53D69" w:rsidRDefault="006C0FE2" w:rsidP="00853C8D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11" w:history="1">
        <w:r w:rsidRPr="003E25BC">
          <w:rPr>
            <w:rStyle w:val="ad"/>
            <w:rFonts w:ascii="Times New Roman" w:hAnsi="Times New Roman" w:cs="Times New Roman"/>
          </w:rPr>
          <w:t>http://nacfin.ru/45-rossiyan-vovlecheny-v-neformalnye-zajmy/</w:t>
        </w:r>
      </w:hyperlink>
      <w:r w:rsidRPr="00C53D69">
        <w:rPr>
          <w:rFonts w:ascii="Times New Roman" w:hAnsi="Times New Roman" w:cs="Times New Roman"/>
        </w:rPr>
        <w:t xml:space="preserve"> </w:t>
      </w:r>
    </w:p>
  </w:footnote>
  <w:footnote w:id="16">
    <w:p w14:paraId="3649089B" w14:textId="77777777" w:rsidR="006C0FE2" w:rsidRPr="003E25BC" w:rsidRDefault="006C0FE2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Источник: НАФИ, 2015 г. n=2700</w:t>
      </w:r>
    </w:p>
  </w:footnote>
  <w:footnote w:id="17">
    <w:p w14:paraId="2ADBF3C2" w14:textId="77777777" w:rsidR="006C0FE2" w:rsidRPr="00C53D69" w:rsidRDefault="006C0FE2" w:rsidP="00777A48">
      <w:pPr>
        <w:pStyle w:val="a9"/>
        <w:rPr>
          <w:rFonts w:ascii="Times New Roman" w:hAnsi="Times New Roman" w:cs="Times New Roman"/>
        </w:rPr>
      </w:pPr>
      <w:r w:rsidRPr="00C53D69">
        <w:rPr>
          <w:rStyle w:val="ac"/>
          <w:rFonts w:ascii="Times New Roman" w:hAnsi="Times New Roman" w:cs="Times New Roman"/>
        </w:rPr>
        <w:footnoteRef/>
      </w:r>
      <w:r w:rsidRPr="00C53D69">
        <w:rPr>
          <w:rFonts w:ascii="Times New Roman" w:hAnsi="Times New Roman" w:cs="Times New Roman"/>
        </w:rPr>
        <w:t xml:space="preserve"> </w:t>
      </w:r>
      <w:hyperlink r:id="rId12" w:history="1">
        <w:r w:rsidRPr="00C53D69">
          <w:rPr>
            <w:rStyle w:val="ad"/>
            <w:rFonts w:ascii="Times New Roman" w:hAnsi="Times New Roman" w:cs="Times New Roman"/>
          </w:rPr>
          <w:t>https://www.gazeta.ru/business/2015/08/07/7673425.shtml</w:t>
        </w:r>
      </w:hyperlink>
      <w:r w:rsidRPr="00C53D69">
        <w:rPr>
          <w:rFonts w:ascii="Times New Roman" w:hAnsi="Times New Roman" w:cs="Times New Roman"/>
        </w:rPr>
        <w:t xml:space="preserve"> </w:t>
      </w:r>
    </w:p>
  </w:footnote>
  <w:footnote w:id="18">
    <w:p w14:paraId="53231DF6" w14:textId="77777777" w:rsidR="006C0FE2" w:rsidRPr="003E25BC" w:rsidRDefault="006C0FE2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Источник: НАФИ, 2015 г. </w:t>
      </w:r>
      <w:r w:rsidRPr="003E25BC">
        <w:rPr>
          <w:rFonts w:ascii="Times New Roman" w:hAnsi="Times New Roman" w:cs="Times New Roman"/>
          <w:lang w:val="en-US"/>
        </w:rPr>
        <w:t>n</w:t>
      </w:r>
      <w:r w:rsidRPr="003E25BC">
        <w:rPr>
          <w:rFonts w:ascii="Times New Roman" w:hAnsi="Times New Roman" w:cs="Times New Roman"/>
        </w:rPr>
        <w:t>=2700</w:t>
      </w:r>
    </w:p>
  </w:footnote>
  <w:footnote w:id="19">
    <w:p w14:paraId="054140F6" w14:textId="77777777" w:rsidR="006C0FE2" w:rsidRPr="003E25BC" w:rsidRDefault="006C0FE2" w:rsidP="00853C8D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13" w:history="1">
        <w:r w:rsidRPr="003E25BC">
          <w:rPr>
            <w:rStyle w:val="ad"/>
            <w:rFonts w:ascii="Times New Roman" w:hAnsi="Times New Roman" w:cs="Times New Roman"/>
          </w:rPr>
          <w:t>http://izvestia.ru/news/620452</w:t>
        </w:r>
      </w:hyperlink>
      <w:r w:rsidRPr="003E25BC">
        <w:rPr>
          <w:rFonts w:ascii="Times New Roman" w:hAnsi="Times New Roman" w:cs="Times New Roman"/>
        </w:rPr>
        <w:t xml:space="preserve"> </w:t>
      </w:r>
    </w:p>
  </w:footnote>
  <w:footnote w:id="20">
    <w:p w14:paraId="3365C1A2" w14:textId="77777777" w:rsidR="006C0FE2" w:rsidRPr="00C53D69" w:rsidRDefault="006C0FE2" w:rsidP="00853C8D">
      <w:pPr>
        <w:pStyle w:val="a9"/>
        <w:rPr>
          <w:rFonts w:ascii="Times New Roman" w:hAnsi="Times New Roman" w:cs="Times New Roman"/>
        </w:rPr>
      </w:pPr>
      <w:r w:rsidRPr="003E25BC">
        <w:rPr>
          <w:rStyle w:val="ac"/>
          <w:rFonts w:ascii="Times New Roman" w:hAnsi="Times New Roman" w:cs="Times New Roman"/>
        </w:rPr>
        <w:footnoteRef/>
      </w:r>
      <w:r w:rsidRPr="003E25BC">
        <w:rPr>
          <w:rFonts w:ascii="Times New Roman" w:hAnsi="Times New Roman" w:cs="Times New Roman"/>
        </w:rPr>
        <w:t xml:space="preserve"> </w:t>
      </w:r>
      <w:hyperlink r:id="rId14" w:history="1">
        <w:r w:rsidRPr="003E25BC">
          <w:rPr>
            <w:rStyle w:val="ad"/>
            <w:rFonts w:ascii="Times New Roman" w:hAnsi="Times New Roman" w:cs="Times New Roman"/>
          </w:rPr>
          <w:t>https://lenta.ru/articles/2016/07/05/newpens/</w:t>
        </w:r>
      </w:hyperlink>
      <w:r w:rsidRPr="00C53D69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9872E3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5285E"/>
    <w:multiLevelType w:val="hybridMultilevel"/>
    <w:tmpl w:val="A0FA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5EE7"/>
    <w:multiLevelType w:val="hybridMultilevel"/>
    <w:tmpl w:val="55CC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D04E"/>
    <w:multiLevelType w:val="multilevel"/>
    <w:tmpl w:val="33C0DB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F75FB"/>
    <w:multiLevelType w:val="hybridMultilevel"/>
    <w:tmpl w:val="FE5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0243"/>
    <w:rsid w:val="00085D60"/>
    <w:rsid w:val="000F4EF6"/>
    <w:rsid w:val="000F5ED1"/>
    <w:rsid w:val="00254BB8"/>
    <w:rsid w:val="002D3A8D"/>
    <w:rsid w:val="00314E0F"/>
    <w:rsid w:val="00344126"/>
    <w:rsid w:val="00387AC4"/>
    <w:rsid w:val="003B2A9B"/>
    <w:rsid w:val="003E25BC"/>
    <w:rsid w:val="003F5B66"/>
    <w:rsid w:val="00420962"/>
    <w:rsid w:val="0046158F"/>
    <w:rsid w:val="004717A9"/>
    <w:rsid w:val="004A1E79"/>
    <w:rsid w:val="004D22DD"/>
    <w:rsid w:val="004E0742"/>
    <w:rsid w:val="004E29B3"/>
    <w:rsid w:val="004F0DA4"/>
    <w:rsid w:val="00585FDD"/>
    <w:rsid w:val="00590D07"/>
    <w:rsid w:val="005A065C"/>
    <w:rsid w:val="005A1D0F"/>
    <w:rsid w:val="005A66EE"/>
    <w:rsid w:val="005D7A0D"/>
    <w:rsid w:val="00640F1A"/>
    <w:rsid w:val="00641443"/>
    <w:rsid w:val="00657315"/>
    <w:rsid w:val="006800DA"/>
    <w:rsid w:val="006C0FE2"/>
    <w:rsid w:val="006F6F09"/>
    <w:rsid w:val="0070410A"/>
    <w:rsid w:val="00777A48"/>
    <w:rsid w:val="00784D58"/>
    <w:rsid w:val="007879AB"/>
    <w:rsid w:val="007E47D1"/>
    <w:rsid w:val="00807FDA"/>
    <w:rsid w:val="00814490"/>
    <w:rsid w:val="00837A71"/>
    <w:rsid w:val="008519F8"/>
    <w:rsid w:val="00853C8D"/>
    <w:rsid w:val="008D6863"/>
    <w:rsid w:val="00992953"/>
    <w:rsid w:val="009B6C04"/>
    <w:rsid w:val="009C1C0E"/>
    <w:rsid w:val="00A37BC2"/>
    <w:rsid w:val="00A65B5A"/>
    <w:rsid w:val="00AE322E"/>
    <w:rsid w:val="00B76750"/>
    <w:rsid w:val="00B86B75"/>
    <w:rsid w:val="00BC48D5"/>
    <w:rsid w:val="00BF119E"/>
    <w:rsid w:val="00C36279"/>
    <w:rsid w:val="00C55506"/>
    <w:rsid w:val="00CA5143"/>
    <w:rsid w:val="00D31649"/>
    <w:rsid w:val="00DC6B50"/>
    <w:rsid w:val="00DE1F19"/>
    <w:rsid w:val="00DF583F"/>
    <w:rsid w:val="00E315A3"/>
    <w:rsid w:val="00E86FA2"/>
    <w:rsid w:val="00FE0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D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4717A9"/>
    <w:pPr>
      <w:spacing w:after="0" w:line="360" w:lineRule="auto"/>
      <w:jc w:val="both"/>
    </w:pPr>
    <w:rPr>
      <w:rFonts w:ascii="Arial" w:eastAsia="Times New Roman" w:hAnsi="Arial" w:cs="Arial"/>
      <w:sz w:val="22"/>
      <w:lang w:val="ru-RU" w:eastAsia="ru-RU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uiPriority w:val="99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customStyle="1" w:styleId="af">
    <w:name w:val="НАФИ_таблица"/>
    <w:basedOn w:val="a2"/>
    <w:uiPriority w:val="99"/>
    <w:qFormat/>
    <w:rsid w:val="004717A9"/>
    <w:pPr>
      <w:spacing w:before="60" w:after="60"/>
      <w:jc w:val="center"/>
    </w:pPr>
    <w:rPr>
      <w:rFonts w:ascii="Arial" w:eastAsia="Times New Roman" w:hAnsi="Arial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2A900"/>
        <w:left w:val="single" w:sz="4" w:space="0" w:color="F2A900"/>
        <w:bottom w:val="single" w:sz="4" w:space="0" w:color="F2A900"/>
        <w:right w:val="single" w:sz="4" w:space="0" w:color="F2A900"/>
        <w:insideH w:val="single" w:sz="4" w:space="0" w:color="F2A900"/>
        <w:insideV w:val="single" w:sz="4" w:space="0" w:color="F2A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color w:val="FFFFFF"/>
        <w:sz w:val="24"/>
      </w:rPr>
      <w:tblPr/>
      <w:tcPr>
        <w:tc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FFFFF"/>
        </w:tcBorders>
        <w:shd w:val="clear" w:color="auto" w:fill="F2A900"/>
      </w:tcPr>
    </w:tblStylePr>
    <w:tblStylePr w:type="firstCol">
      <w:pPr>
        <w:jc w:val="left"/>
      </w:pPr>
      <w:rPr>
        <w:rFonts w:ascii="Arial" w:hAnsi="Arial"/>
        <w:color w:val="auto"/>
        <w:sz w:val="24"/>
      </w:rPr>
      <w:tblPr/>
      <w:tcPr>
        <w:shd w:val="clear" w:color="auto" w:fill="F9D48D"/>
      </w:tcPr>
    </w:tblStylePr>
  </w:style>
  <w:style w:type="paragraph" w:styleId="af0">
    <w:name w:val="List Paragraph"/>
    <w:basedOn w:val="a"/>
    <w:rsid w:val="00657315"/>
    <w:pPr>
      <w:ind w:left="720"/>
      <w:contextualSpacing/>
    </w:pPr>
  </w:style>
  <w:style w:type="table" w:styleId="af1">
    <w:name w:val="Table Grid"/>
    <w:basedOn w:val="a2"/>
    <w:rsid w:val="00DF58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7879AB"/>
    <w:rPr>
      <w:b/>
      <w:bCs/>
    </w:rPr>
  </w:style>
  <w:style w:type="character" w:styleId="af3">
    <w:name w:val="Emphasis"/>
    <w:basedOn w:val="a1"/>
    <w:uiPriority w:val="20"/>
    <w:qFormat/>
    <w:rsid w:val="007879AB"/>
    <w:rPr>
      <w:i/>
      <w:iCs/>
    </w:rPr>
  </w:style>
  <w:style w:type="character" w:customStyle="1" w:styleId="apple-converted-space">
    <w:name w:val="apple-converted-space"/>
    <w:basedOn w:val="a1"/>
    <w:rsid w:val="007879AB"/>
  </w:style>
  <w:style w:type="paragraph" w:styleId="af4">
    <w:name w:val="Normal (Web)"/>
    <w:basedOn w:val="a"/>
    <w:uiPriority w:val="99"/>
    <w:semiHidden/>
    <w:unhideWhenUsed/>
    <w:rsid w:val="007879A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af5">
    <w:name w:val="annotation reference"/>
    <w:basedOn w:val="a1"/>
    <w:semiHidden/>
    <w:unhideWhenUsed/>
    <w:rsid w:val="006F6F0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6F6F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6F6F09"/>
    <w:rPr>
      <w:rFonts w:ascii="Arial" w:eastAsia="Times New Roman" w:hAnsi="Arial" w:cs="Arial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6F6F0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F6F09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a">
    <w:name w:val="Balloon Text"/>
    <w:basedOn w:val="a"/>
    <w:link w:val="afb"/>
    <w:semiHidden/>
    <w:unhideWhenUsed/>
    <w:rsid w:val="006F6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semiHidden/>
    <w:rsid w:val="006F6F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4717A9"/>
    <w:pPr>
      <w:spacing w:after="0" w:line="360" w:lineRule="auto"/>
      <w:jc w:val="both"/>
    </w:pPr>
    <w:rPr>
      <w:rFonts w:ascii="Arial" w:eastAsia="Times New Roman" w:hAnsi="Arial" w:cs="Arial"/>
      <w:sz w:val="22"/>
      <w:lang w:val="ru-RU" w:eastAsia="ru-RU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uiPriority w:val="99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customStyle="1" w:styleId="af">
    <w:name w:val="НАФИ_таблица"/>
    <w:basedOn w:val="a2"/>
    <w:uiPriority w:val="99"/>
    <w:qFormat/>
    <w:rsid w:val="004717A9"/>
    <w:pPr>
      <w:spacing w:before="60" w:after="60"/>
      <w:jc w:val="center"/>
    </w:pPr>
    <w:rPr>
      <w:rFonts w:ascii="Arial" w:eastAsia="Times New Roman" w:hAnsi="Arial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2A900"/>
        <w:left w:val="single" w:sz="4" w:space="0" w:color="F2A900"/>
        <w:bottom w:val="single" w:sz="4" w:space="0" w:color="F2A900"/>
        <w:right w:val="single" w:sz="4" w:space="0" w:color="F2A900"/>
        <w:insideH w:val="single" w:sz="4" w:space="0" w:color="F2A900"/>
        <w:insideV w:val="single" w:sz="4" w:space="0" w:color="F2A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color w:val="FFFFFF"/>
        <w:sz w:val="24"/>
      </w:rPr>
      <w:tblPr/>
      <w:tcPr>
        <w:tc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FFFFF"/>
        </w:tcBorders>
        <w:shd w:val="clear" w:color="auto" w:fill="F2A900"/>
      </w:tcPr>
    </w:tblStylePr>
    <w:tblStylePr w:type="firstCol">
      <w:pPr>
        <w:jc w:val="left"/>
      </w:pPr>
      <w:rPr>
        <w:rFonts w:ascii="Arial" w:hAnsi="Arial"/>
        <w:color w:val="auto"/>
        <w:sz w:val="24"/>
      </w:rPr>
      <w:tblPr/>
      <w:tcPr>
        <w:shd w:val="clear" w:color="auto" w:fill="F9D48D"/>
      </w:tcPr>
    </w:tblStylePr>
  </w:style>
  <w:style w:type="paragraph" w:styleId="af0">
    <w:name w:val="List Paragraph"/>
    <w:basedOn w:val="a"/>
    <w:rsid w:val="00657315"/>
    <w:pPr>
      <w:ind w:left="720"/>
      <w:contextualSpacing/>
    </w:pPr>
  </w:style>
  <w:style w:type="table" w:styleId="af1">
    <w:name w:val="Table Grid"/>
    <w:basedOn w:val="a2"/>
    <w:rsid w:val="00DF58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7879AB"/>
    <w:rPr>
      <w:b/>
      <w:bCs/>
    </w:rPr>
  </w:style>
  <w:style w:type="character" w:styleId="af3">
    <w:name w:val="Emphasis"/>
    <w:basedOn w:val="a1"/>
    <w:uiPriority w:val="20"/>
    <w:qFormat/>
    <w:rsid w:val="007879AB"/>
    <w:rPr>
      <w:i/>
      <w:iCs/>
    </w:rPr>
  </w:style>
  <w:style w:type="character" w:customStyle="1" w:styleId="apple-converted-space">
    <w:name w:val="apple-converted-space"/>
    <w:basedOn w:val="a1"/>
    <w:rsid w:val="007879AB"/>
  </w:style>
  <w:style w:type="paragraph" w:styleId="af4">
    <w:name w:val="Normal (Web)"/>
    <w:basedOn w:val="a"/>
    <w:uiPriority w:val="99"/>
    <w:semiHidden/>
    <w:unhideWhenUsed/>
    <w:rsid w:val="007879A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</w:rPr>
  </w:style>
  <w:style w:type="character" w:styleId="af5">
    <w:name w:val="annotation reference"/>
    <w:basedOn w:val="a1"/>
    <w:semiHidden/>
    <w:unhideWhenUsed/>
    <w:rsid w:val="006F6F0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6F6F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semiHidden/>
    <w:rsid w:val="006F6F09"/>
    <w:rPr>
      <w:rFonts w:ascii="Arial" w:eastAsia="Times New Roman" w:hAnsi="Arial" w:cs="Arial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6F6F0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F6F09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a">
    <w:name w:val="Balloon Text"/>
    <w:basedOn w:val="a"/>
    <w:link w:val="afb"/>
    <w:semiHidden/>
    <w:unhideWhenUsed/>
    <w:rsid w:val="006F6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semiHidden/>
    <w:rsid w:val="006F6F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idpZLXnqHOAhWqBZoKHSMvCRMQFgglMAE&amp;url=http%3A%2F%2Fregconf.hse.ru%2Fuploads%2F893de5fa780208164912abb0b0cfbc84fac46168.doc&amp;usg=AFQjCNGfZ7JyGQEyBCq7ph4q63N9VTgLCw&amp;sig2=6HZdiP-SKN46Jv9KxBMhHg&amp;cad=rjt" TargetMode="External"/><Relationship Id="rId13" Type="http://schemas.openxmlformats.org/officeDocument/2006/relationships/hyperlink" Target="http://izvestia.ru/news/620452" TargetMode="External"/><Relationship Id="rId3" Type="http://schemas.openxmlformats.org/officeDocument/2006/relationships/hyperlink" Target="http://tass.ru/pmef-2016/article/3370274" TargetMode="External"/><Relationship Id="rId7" Type="http://schemas.openxmlformats.org/officeDocument/2006/relationships/hyperlink" Target="https://www.gazeta.ru/business/2016/03/22/8136947.shtml" TargetMode="External"/><Relationship Id="rId12" Type="http://schemas.openxmlformats.org/officeDocument/2006/relationships/hyperlink" Target="https://www.gazeta.ru/business/2015/08/07/7673425.shtml" TargetMode="External"/><Relationship Id="rId2" Type="http://schemas.openxmlformats.org/officeDocument/2006/relationships/hyperlink" Target="http://ria.ru/politics/20151209/1339015299.html" TargetMode="External"/><Relationship Id="rId1" Type="http://schemas.openxmlformats.org/officeDocument/2006/relationships/hyperlink" Target="http://www.pfrf.ru/info/order/budzhet_pfr/~2531" TargetMode="External"/><Relationship Id="rId6" Type="http://schemas.openxmlformats.org/officeDocument/2006/relationships/hyperlink" Target="http://www.rbc.ru/money/29/04/2016/5722b5109a79473510f5289d" TargetMode="External"/><Relationship Id="rId11" Type="http://schemas.openxmlformats.org/officeDocument/2006/relationships/hyperlink" Target="http://nacfin.ru/45-rossiyan-vovlecheny-v-neformalnye-zajmy/" TargetMode="External"/><Relationship Id="rId5" Type="http://schemas.openxmlformats.org/officeDocument/2006/relationships/hyperlink" Target="http://www.lerc.ru/?part=articles&amp;art=18&amp;page=13" TargetMode="External"/><Relationship Id="rId10" Type="http://schemas.openxmlformats.org/officeDocument/2006/relationships/hyperlink" Target="http://vz.ru/economy/2016/3/25/801657.html" TargetMode="External"/><Relationship Id="rId4" Type="http://schemas.openxmlformats.org/officeDocument/2006/relationships/hyperlink" Target="https://rg.ru/2016/05/19/pochemu-pensionnaia-sistema-ezhegodno-teriaet-trilliony-rublej.html" TargetMode="External"/><Relationship Id="rId9" Type="http://schemas.openxmlformats.org/officeDocument/2006/relationships/hyperlink" Target="http://kommersant.ru/doc/2975525" TargetMode="External"/><Relationship Id="rId14" Type="http://schemas.openxmlformats.org/officeDocument/2006/relationships/hyperlink" Target="https://lenta.ru/articles/2016/07/05/newpens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7;&#1088;&#1075;&#1077;&#1081;\&#1056;&#1072;&#1073;&#1086;&#1095;&#1080;&#1081;%20&#1089;&#1090;&#1086;&#1083;\&#1056;&#1072;&#1073;&#1086;&#1090;&#1072;\&#1050;&#1086;&#1101;&#1092;&#1092;&#1080;&#1094;&#1080;&#1077;&#1085;&#1090;%20&#1076;&#1077;&#1084;&#1086;&#1075;&#1088;&#1072;&#1092;&#1080;&#1095;&#1077;&#1089;&#1082;&#1086;&#1081;%20&#1085;&#1072;&#1075;&#1088;&#1091;&#1079;&#1082;&#1080;.xls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bg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/>
              </a:solidFill>
            </c:spPr>
          </c:dPt>
          <c:dLbls>
            <c:dLbl>
              <c:idx val="0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>
                      <a:solidFill>
                        <a:schemeClr val="accent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fld id="{471B9307-9194-442A-B9ED-26BD8800EDEB}" type="VALUE">
                      <a:rPr lang="en-US" sz="1050" b="1">
                        <a:solidFill>
                          <a:schemeClr val="accent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2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2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Sheet1!$A$6:$A$9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Sheet1!$B$6:$B$9</c:f>
              <c:numCache>
                <c:formatCode>General</c:formatCode>
                <c:ptCount val="4"/>
                <c:pt idx="0">
                  <c:v>31</c:v>
                </c:pt>
                <c:pt idx="1">
                  <c:v>544</c:v>
                </c:pt>
                <c:pt idx="2">
                  <c:v>175</c:v>
                </c:pt>
                <c:pt idx="3">
                  <c:v>1100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55744"/>
        <c:axId val="200923392"/>
      </c:barChart>
      <c:catAx>
        <c:axId val="20025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200923392"/>
        <c:crosses val="autoZero"/>
        <c:auto val="1"/>
        <c:lblAlgn val="ctr"/>
        <c:lblOffset val="100"/>
        <c:noMultiLvlLbl val="0"/>
      </c:catAx>
      <c:valAx>
        <c:axId val="200923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 b="0">
                    <a:solidFill>
                      <a:schemeClr val="accent6"/>
                    </a:solidFill>
                    <a:latin typeface="Arial" panose="020B0604020202020204" pitchFamily="34" charset="0"/>
                    <a:ea typeface="Segoe UI Emoji" panose="020B0502040204020203" pitchFamily="34" charset="0"/>
                    <a:cs typeface="Arial" panose="020B0604020202020204" pitchFamily="34" charset="0"/>
                  </a:defRPr>
                </a:pPr>
                <a:r>
                  <a:rPr lang="ru-RU" sz="1000" b="0">
                    <a:solidFill>
                      <a:schemeClr val="accent6"/>
                    </a:solidFill>
                    <a:effectLst/>
                    <a:latin typeface="Arial" panose="020B0604020202020204" pitchFamily="34" charset="0"/>
                    <a:ea typeface="Segoe UI Emoji" panose="020B0502040204020203" pitchFamily="34" charset="0"/>
                    <a:cs typeface="Arial" panose="020B0604020202020204" pitchFamily="34" charset="0"/>
                  </a:rPr>
                  <a:t>млрд руб.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200255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 нашей стране невозможно планировать пенсию из-за постоянных изменений пенсионной системы</c:v>
                </c:pt>
                <c:pt idx="1">
                  <c:v>У меня есть стратегия накоплений на старость</c:v>
                </c:pt>
                <c:pt idx="2">
                  <c:v>В моем возрасте еще рано думать о пенсии</c:v>
                </c:pt>
                <c:pt idx="3">
                  <c:v>Я участвую в программе софинансирования пенсии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35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094784"/>
        <c:axId val="195252224"/>
      </c:barChart>
      <c:catAx>
        <c:axId val="195094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95252224"/>
        <c:crosses val="autoZero"/>
        <c:auto val="1"/>
        <c:lblAlgn val="ctr"/>
        <c:lblOffset val="100"/>
        <c:noMultiLvlLbl val="0"/>
      </c:catAx>
      <c:valAx>
        <c:axId val="195252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509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51480023330408E-2"/>
          <c:y val="6.3492063492063489E-2"/>
          <c:w val="0.89908555701370663"/>
          <c:h val="0.6637126609173853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Банки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Апрель 2015</c:v>
                </c:pt>
                <c:pt idx="4">
                  <c:v>Ноябрь 2015</c:v>
                </c:pt>
                <c:pt idx="5">
                  <c:v>2016</c:v>
                </c:pt>
              </c:strCache>
            </c:strRef>
          </c:cat>
          <c:val>
            <c:numRef>
              <c:f>Лист1!$B$2:$G$2</c:f>
              <c:numCache>
                <c:formatCode>0</c:formatCode>
                <c:ptCount val="6"/>
                <c:pt idx="0">
                  <c:v>64</c:v>
                </c:pt>
                <c:pt idx="1">
                  <c:v>78</c:v>
                </c:pt>
                <c:pt idx="2">
                  <c:v>74</c:v>
                </c:pt>
                <c:pt idx="3">
                  <c:v>56</c:v>
                </c:pt>
                <c:pt idx="4">
                  <c:v>59</c:v>
                </c:pt>
                <c:pt idx="5">
                  <c:v>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Страховые компании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Апрель 2015</c:v>
                </c:pt>
                <c:pt idx="4">
                  <c:v>Ноябрь 2015</c:v>
                </c:pt>
                <c:pt idx="5">
                  <c:v>2016</c:v>
                </c:pt>
              </c:strCache>
            </c:strRef>
          </c:cat>
          <c:val>
            <c:numRef>
              <c:f>Лист1!$B$3:$G$3</c:f>
              <c:numCache>
                <c:formatCode>0</c:formatCode>
                <c:ptCount val="6"/>
                <c:pt idx="0">
                  <c:v>34.577114427860693</c:v>
                </c:pt>
                <c:pt idx="1">
                  <c:v>41</c:v>
                </c:pt>
                <c:pt idx="2">
                  <c:v>38</c:v>
                </c:pt>
                <c:pt idx="3">
                  <c:v>35</c:v>
                </c:pt>
                <c:pt idx="4">
                  <c:v>34</c:v>
                </c:pt>
                <c:pt idx="5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Инвестиционные компании 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dashDot"/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prstDash val="dashDot"/>
              </a:ln>
              <a:effectLst/>
            </c:spPr>
          </c:marker>
          <c:dLbls>
            <c:dLbl>
              <c:idx val="3"/>
              <c:layout>
                <c:manualLayout>
                  <c:x val="-1.9641294838145147E-2"/>
                  <c:y val="6.84539432570921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326480023330416E-2"/>
                  <c:y val="2.87714035745531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696850393700956E-2"/>
                  <c:y val="1.4781902262217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Апрель 2015</c:v>
                </c:pt>
                <c:pt idx="4">
                  <c:v>Ноябрь 2015</c:v>
                </c:pt>
                <c:pt idx="5">
                  <c:v>2016</c:v>
                </c:pt>
              </c:strCache>
            </c:strRef>
          </c:cat>
          <c:val>
            <c:numRef>
              <c:f>Лист1!$B$4:$G$4</c:f>
              <c:numCache>
                <c:formatCode>0</c:formatCode>
                <c:ptCount val="6"/>
                <c:pt idx="0">
                  <c:v>17</c:v>
                </c:pt>
                <c:pt idx="1">
                  <c:v>19</c:v>
                </c:pt>
                <c:pt idx="2">
                  <c:v>19</c:v>
                </c:pt>
                <c:pt idx="3">
                  <c:v>16</c:v>
                </c:pt>
                <c:pt idx="4">
                  <c:v>16</c:v>
                </c:pt>
                <c:pt idx="5">
                  <c:v>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МФО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sysDot"/>
              <a:round/>
            </a:ln>
            <a:effectLst/>
          </c:spPr>
          <c:marker>
            <c:symbol val="diamond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Апрель 2015</c:v>
                </c:pt>
                <c:pt idx="4">
                  <c:v>Ноябрь 2015</c:v>
                </c:pt>
                <c:pt idx="5">
                  <c:v>2016</c:v>
                </c:pt>
              </c:strCache>
            </c:strRef>
          </c:cat>
          <c:val>
            <c:numRef>
              <c:f>Лист1!$B$5:$G$5</c:f>
              <c:numCache>
                <c:formatCode>0</c:formatCode>
                <c:ptCount val="6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НПФ</c:v>
                </c:pt>
              </c:strCache>
            </c:strRef>
          </c:tx>
          <c:spPr>
            <a:ln w="28575" cap="rnd" cmpd="dbl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x"/>
            <c:size val="7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2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40740740740740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462962962963048E-2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472222222222239E-2"/>
                  <c:y val="-4.365079365079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Апрель 2015</c:v>
                </c:pt>
                <c:pt idx="4">
                  <c:v>Ноябрь 2015</c:v>
                </c:pt>
                <c:pt idx="5">
                  <c:v>2016</c:v>
                </c:pt>
              </c:strCache>
            </c:strRef>
          </c:cat>
          <c:val>
            <c:numRef>
              <c:f>Лист1!$B$6:$G$6</c:f>
              <c:numCache>
                <c:formatCode>0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22</c:v>
                </c:pt>
                <c:pt idx="5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171520"/>
        <c:axId val="202173056"/>
      </c:lineChart>
      <c:catAx>
        <c:axId val="2021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73056"/>
        <c:crosses val="autoZero"/>
        <c:auto val="1"/>
        <c:lblAlgn val="ctr"/>
        <c:lblOffset val="100"/>
        <c:noMultiLvlLbl val="0"/>
      </c:catAx>
      <c:valAx>
        <c:axId val="20217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7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75925925925928"/>
          <c:y val="0.84347456567929013"/>
          <c:w val="0.82824074074074094"/>
          <c:h val="0.13271591051118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8644984311355E-2"/>
          <c:y val="4.3650793650793648E-2"/>
          <c:w val="0.92716173418709069"/>
          <c:h val="0.7376987251593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млн. чел.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17.7</c:v>
                </c:pt>
                <c:pt idx="1">
                  <c:v>17.899999999999999</c:v>
                </c:pt>
                <c:pt idx="2">
                  <c:v>15.4</c:v>
                </c:pt>
                <c:pt idx="3">
                  <c:v>15.5</c:v>
                </c:pt>
                <c:pt idx="4">
                  <c:v>16.100000000000001</c:v>
                </c:pt>
                <c:pt idx="5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642816"/>
        <c:axId val="218083712"/>
      </c:barChart>
      <c:catAx>
        <c:axId val="21064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8083712"/>
        <c:crosses val="autoZero"/>
        <c:auto val="1"/>
        <c:lblAlgn val="ctr"/>
        <c:lblOffset val="100"/>
        <c:noMultiLvlLbl val="0"/>
      </c:catAx>
      <c:valAx>
        <c:axId val="21808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064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400250400046209"/>
          <c:y val="0.89260623672040995"/>
          <c:w val="0.13199499199907586"/>
          <c:h val="8.96648888410756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90994547006141"/>
          <c:y val="7.9850865001005647E-2"/>
          <c:w val="0.84037590920517102"/>
          <c:h val="0.661906934717415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населения старше трудоспособного возраста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</c:strCache>
            </c:strRef>
          </c:cat>
          <c:val>
            <c:numRef>
              <c:f>Лист1!$B$2:$G$2</c:f>
              <c:numCache>
                <c:formatCode>0%</c:formatCode>
                <c:ptCount val="6"/>
                <c:pt idx="0">
                  <c:v>0.22</c:v>
                </c:pt>
                <c:pt idx="1">
                  <c:v>0.22</c:v>
                </c:pt>
                <c:pt idx="2">
                  <c:v>0.23</c:v>
                </c:pt>
                <c:pt idx="3">
                  <c:v>0.23</c:v>
                </c:pt>
                <c:pt idx="4">
                  <c:v>0.24</c:v>
                </c:pt>
                <c:pt idx="5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населения трудоспособного возраста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Лист1!$B$1:$G$1</c:f>
              <c:strCache>
                <c:ptCount val="6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>
                  <c:v>0.78</c:v>
                </c:pt>
                <c:pt idx="1">
                  <c:v>0.78</c:v>
                </c:pt>
                <c:pt idx="2">
                  <c:v>0.77</c:v>
                </c:pt>
                <c:pt idx="3">
                  <c:v>0.77</c:v>
                </c:pt>
                <c:pt idx="4">
                  <c:v>0.76</c:v>
                </c:pt>
                <c:pt idx="5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100"/>
        <c:axId val="218430080"/>
        <c:axId val="228231808"/>
      </c:barChart>
      <c:catAx>
        <c:axId val="2184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28231808"/>
        <c:crosses val="autoZero"/>
        <c:auto val="1"/>
        <c:lblAlgn val="ctr"/>
        <c:lblOffset val="100"/>
        <c:noMultiLvlLbl val="0"/>
      </c:catAx>
      <c:valAx>
        <c:axId val="228231808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18430080"/>
        <c:crosses val="autoZero"/>
        <c:crossBetween val="between"/>
        <c:majorUnit val="0.2"/>
        <c:minorUnit val="5.000000000000001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527558241602678E-2"/>
          <c:y val="0.85147514658354084"/>
          <c:w val="0.84694488351679464"/>
          <c:h val="0.10884224304866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431642300751055"/>
          <c:y val="5.1400554097404502E-2"/>
          <c:w val="0.79512800030430975"/>
          <c:h val="0.560634660250802"/>
        </c:manualLayout>
      </c:layout>
      <c:lineChart>
        <c:grouping val="standard"/>
        <c:varyColors val="0"/>
        <c:ser>
          <c:idx val="0"/>
          <c:order val="0"/>
          <c:tx>
            <c:strRef>
              <c:f>'4'!$B$25</c:f>
              <c:strCache>
                <c:ptCount val="1"/>
                <c:pt idx="0">
                  <c:v>Низкий вариант прогноза</c:v>
                </c:pt>
              </c:strCache>
            </c:strRef>
          </c:tx>
          <c:marker>
            <c:symbol val="none"/>
          </c:marker>
          <c:cat>
            <c:numRef>
              <c:f>'4'!$A$26:$A$40</c:f>
              <c:numCache>
                <c:formatCode>General</c:formatCode>
                <c:ptCount val="1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</c:numCache>
            </c:numRef>
          </c:cat>
          <c:val>
            <c:numRef>
              <c:f>'4'!$B$26:$B$40</c:f>
              <c:numCache>
                <c:formatCode>General</c:formatCode>
                <c:ptCount val="15"/>
                <c:pt idx="0">
                  <c:v>764</c:v>
                </c:pt>
                <c:pt idx="1">
                  <c:v>787</c:v>
                </c:pt>
                <c:pt idx="2">
                  <c:v>807</c:v>
                </c:pt>
                <c:pt idx="3">
                  <c:v>823</c:v>
                </c:pt>
                <c:pt idx="4">
                  <c:v>839</c:v>
                </c:pt>
                <c:pt idx="5">
                  <c:v>851</c:v>
                </c:pt>
                <c:pt idx="6">
                  <c:v>860</c:v>
                </c:pt>
                <c:pt idx="7">
                  <c:v>865</c:v>
                </c:pt>
                <c:pt idx="8">
                  <c:v>865</c:v>
                </c:pt>
                <c:pt idx="9">
                  <c:v>866</c:v>
                </c:pt>
                <c:pt idx="10">
                  <c:v>865</c:v>
                </c:pt>
                <c:pt idx="11">
                  <c:v>861</c:v>
                </c:pt>
                <c:pt idx="12">
                  <c:v>854</c:v>
                </c:pt>
                <c:pt idx="13">
                  <c:v>848</c:v>
                </c:pt>
                <c:pt idx="14">
                  <c:v>844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'4'!$C$25</c:f>
              <c:strCache>
                <c:ptCount val="1"/>
                <c:pt idx="0">
                  <c:v>Средний вариант прогноза
</c:v>
                </c:pt>
              </c:strCache>
            </c:strRef>
          </c:tx>
          <c:spPr>
            <a:ln>
              <a:solidFill>
                <a:schemeClr val="bg2"/>
              </a:solidFill>
            </a:ln>
          </c:spPr>
          <c:marker>
            <c:symbol val="none"/>
          </c:marker>
          <c:cat>
            <c:numRef>
              <c:f>'4'!$A$26:$A$40</c:f>
              <c:numCache>
                <c:formatCode>General</c:formatCode>
                <c:ptCount val="1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</c:numCache>
            </c:numRef>
          </c:cat>
          <c:val>
            <c:numRef>
              <c:f>'4'!$C$26:$C$40</c:f>
              <c:numCache>
                <c:formatCode>General</c:formatCode>
                <c:ptCount val="15"/>
                <c:pt idx="0">
                  <c:v>764</c:v>
                </c:pt>
                <c:pt idx="1">
                  <c:v>788</c:v>
                </c:pt>
                <c:pt idx="2">
                  <c:v>808</c:v>
                </c:pt>
                <c:pt idx="3">
                  <c:v>824</c:v>
                </c:pt>
                <c:pt idx="4">
                  <c:v>841</c:v>
                </c:pt>
                <c:pt idx="5">
                  <c:v>853</c:v>
                </c:pt>
                <c:pt idx="6">
                  <c:v>863</c:v>
                </c:pt>
                <c:pt idx="7">
                  <c:v>868</c:v>
                </c:pt>
                <c:pt idx="8">
                  <c:v>870</c:v>
                </c:pt>
                <c:pt idx="9">
                  <c:v>872</c:v>
                </c:pt>
                <c:pt idx="10">
                  <c:v>872</c:v>
                </c:pt>
                <c:pt idx="11">
                  <c:v>869</c:v>
                </c:pt>
                <c:pt idx="12">
                  <c:v>864</c:v>
                </c:pt>
                <c:pt idx="13">
                  <c:v>859</c:v>
                </c:pt>
                <c:pt idx="14">
                  <c:v>857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'4'!$D$25</c:f>
              <c:strCache>
                <c:ptCount val="1"/>
                <c:pt idx="0">
                  <c:v>Высокий вариант прогноза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'4'!$A$26:$A$40</c:f>
              <c:numCache>
                <c:formatCode>General</c:formatCode>
                <c:ptCount val="1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  <c:pt idx="14">
                  <c:v>2031</c:v>
                </c:pt>
              </c:numCache>
            </c:numRef>
          </c:cat>
          <c:val>
            <c:numRef>
              <c:f>'4'!$D$26:$D$40</c:f>
              <c:numCache>
                <c:formatCode>General</c:formatCode>
                <c:ptCount val="15"/>
                <c:pt idx="0">
                  <c:v>765</c:v>
                </c:pt>
                <c:pt idx="1">
                  <c:v>789</c:v>
                </c:pt>
                <c:pt idx="2">
                  <c:v>810</c:v>
                </c:pt>
                <c:pt idx="3">
                  <c:v>828</c:v>
                </c:pt>
                <c:pt idx="4">
                  <c:v>845</c:v>
                </c:pt>
                <c:pt idx="5">
                  <c:v>859</c:v>
                </c:pt>
                <c:pt idx="6">
                  <c:v>870</c:v>
                </c:pt>
                <c:pt idx="7">
                  <c:v>877</c:v>
                </c:pt>
                <c:pt idx="8">
                  <c:v>879</c:v>
                </c:pt>
                <c:pt idx="9">
                  <c:v>883</c:v>
                </c:pt>
                <c:pt idx="10">
                  <c:v>884</c:v>
                </c:pt>
                <c:pt idx="11">
                  <c:v>882</c:v>
                </c:pt>
                <c:pt idx="12">
                  <c:v>878</c:v>
                </c:pt>
                <c:pt idx="13">
                  <c:v>875</c:v>
                </c:pt>
                <c:pt idx="14">
                  <c:v>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42624"/>
        <c:axId val="194844160"/>
      </c:lineChart>
      <c:catAx>
        <c:axId val="1948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94844160"/>
        <c:crosses val="autoZero"/>
        <c:auto val="1"/>
        <c:lblAlgn val="ctr"/>
        <c:lblOffset val="100"/>
        <c:tickLblSkip val="2"/>
        <c:noMultiLvlLbl val="0"/>
      </c:catAx>
      <c:valAx>
        <c:axId val="194844160"/>
        <c:scaling>
          <c:orientation val="minMax"/>
          <c:max val="900"/>
          <c:min val="7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>
                  <a:defRPr sz="1050" b="0">
                    <a:solidFill>
                      <a:schemeClr val="accent6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sz="1050" b="0">
                    <a:solidFill>
                      <a:schemeClr val="accent6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Количество </a:t>
                </a:r>
                <a:r>
                  <a:rPr lang="ru-RU" sz="1050" b="0" i="0" u="none" strike="noStrike" baseline="0">
                    <a:solidFill>
                      <a:schemeClr val="accent6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человек нетрудоспособного возраста на 1000 лиц трудоспособного возраста</a:t>
                </a:r>
                <a:endParaRPr lang="en-US" sz="1050" b="0">
                  <a:solidFill>
                    <a:schemeClr val="accent6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44304461942257E-2"/>
              <c:y val="4.0699183435403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94842624"/>
        <c:crosses val="autoZero"/>
        <c:crossBetween val="between"/>
        <c:majorUnit val="30"/>
      </c:valAx>
    </c:plotArea>
    <c:legend>
      <c:legendPos val="b"/>
      <c:layout>
        <c:manualLayout>
          <c:xMode val="edge"/>
          <c:yMode val="edge"/>
          <c:x val="0.22180555555555601"/>
          <c:y val="0.80208916593759105"/>
          <c:w val="0.73972222222222195"/>
          <c:h val="0.17013305628463099"/>
        </c:manualLayout>
      </c:layout>
      <c:overlay val="0"/>
      <c:txPr>
        <a:bodyPr/>
        <a:lstStyle/>
        <a:p>
          <a:pPr>
            <a:defRPr sz="1000">
              <a:solidFill>
                <a:schemeClr val="accent6"/>
              </a:solidFill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Sheet3!$A$4:$A$40</c:f>
              <c:numCache>
                <c:formatCode>m/d/yyyy</c:formatCode>
                <c:ptCount val="37"/>
                <c:pt idx="0">
                  <c:v>41456</c:v>
                </c:pt>
                <c:pt idx="1">
                  <c:v>41487</c:v>
                </c:pt>
                <c:pt idx="2">
                  <c:v>41518</c:v>
                </c:pt>
                <c:pt idx="3">
                  <c:v>41548</c:v>
                </c:pt>
                <c:pt idx="4">
                  <c:v>41579</c:v>
                </c:pt>
                <c:pt idx="5">
                  <c:v>41609</c:v>
                </c:pt>
                <c:pt idx="6">
                  <c:v>41640</c:v>
                </c:pt>
                <c:pt idx="7">
                  <c:v>41671</c:v>
                </c:pt>
                <c:pt idx="8">
                  <c:v>41699</c:v>
                </c:pt>
                <c:pt idx="9">
                  <c:v>41730</c:v>
                </c:pt>
                <c:pt idx="10">
                  <c:v>41760</c:v>
                </c:pt>
                <c:pt idx="11">
                  <c:v>41791</c:v>
                </c:pt>
                <c:pt idx="12">
                  <c:v>41821</c:v>
                </c:pt>
                <c:pt idx="13">
                  <c:v>41852</c:v>
                </c:pt>
                <c:pt idx="14">
                  <c:v>41883</c:v>
                </c:pt>
                <c:pt idx="15">
                  <c:v>41913</c:v>
                </c:pt>
                <c:pt idx="16">
                  <c:v>41944</c:v>
                </c:pt>
                <c:pt idx="17">
                  <c:v>41974</c:v>
                </c:pt>
                <c:pt idx="18">
                  <c:v>42005</c:v>
                </c:pt>
                <c:pt idx="19">
                  <c:v>42036</c:v>
                </c:pt>
                <c:pt idx="20">
                  <c:v>42064</c:v>
                </c:pt>
                <c:pt idx="21">
                  <c:v>42095</c:v>
                </c:pt>
                <c:pt idx="22">
                  <c:v>42125</c:v>
                </c:pt>
                <c:pt idx="23">
                  <c:v>42156</c:v>
                </c:pt>
                <c:pt idx="24">
                  <c:v>42186</c:v>
                </c:pt>
                <c:pt idx="25">
                  <c:v>42217</c:v>
                </c:pt>
                <c:pt idx="26">
                  <c:v>42248</c:v>
                </c:pt>
                <c:pt idx="27">
                  <c:v>42278</c:v>
                </c:pt>
                <c:pt idx="28">
                  <c:v>42309</c:v>
                </c:pt>
                <c:pt idx="29">
                  <c:v>42339</c:v>
                </c:pt>
                <c:pt idx="30">
                  <c:v>42370</c:v>
                </c:pt>
                <c:pt idx="31">
                  <c:v>42401</c:v>
                </c:pt>
                <c:pt idx="32">
                  <c:v>42430</c:v>
                </c:pt>
                <c:pt idx="33">
                  <c:v>42461</c:v>
                </c:pt>
                <c:pt idx="34">
                  <c:v>42491</c:v>
                </c:pt>
                <c:pt idx="35">
                  <c:v>42522</c:v>
                </c:pt>
                <c:pt idx="36">
                  <c:v>42552</c:v>
                </c:pt>
              </c:numCache>
            </c:numRef>
          </c:cat>
          <c:val>
            <c:numRef>
              <c:f>Sheet3!$B$4:$B$40</c:f>
            </c:numRef>
          </c:val>
          <c:smooth val="0"/>
        </c:ser>
        <c:ser>
          <c:idx val="1"/>
          <c:order val="1"/>
          <c:cat>
            <c:numRef>
              <c:f>Sheet3!$A$4:$A$40</c:f>
              <c:numCache>
                <c:formatCode>m/d/yyyy</c:formatCode>
                <c:ptCount val="37"/>
                <c:pt idx="0">
                  <c:v>41456</c:v>
                </c:pt>
                <c:pt idx="1">
                  <c:v>41487</c:v>
                </c:pt>
                <c:pt idx="2">
                  <c:v>41518</c:v>
                </c:pt>
                <c:pt idx="3">
                  <c:v>41548</c:v>
                </c:pt>
                <c:pt idx="4">
                  <c:v>41579</c:v>
                </c:pt>
                <c:pt idx="5">
                  <c:v>41609</c:v>
                </c:pt>
                <c:pt idx="6">
                  <c:v>41640</c:v>
                </c:pt>
                <c:pt idx="7">
                  <c:v>41671</c:v>
                </c:pt>
                <c:pt idx="8">
                  <c:v>41699</c:v>
                </c:pt>
                <c:pt idx="9">
                  <c:v>41730</c:v>
                </c:pt>
                <c:pt idx="10">
                  <c:v>41760</c:v>
                </c:pt>
                <c:pt idx="11">
                  <c:v>41791</c:v>
                </c:pt>
                <c:pt idx="12">
                  <c:v>41821</c:v>
                </c:pt>
                <c:pt idx="13">
                  <c:v>41852</c:v>
                </c:pt>
                <c:pt idx="14">
                  <c:v>41883</c:v>
                </c:pt>
                <c:pt idx="15">
                  <c:v>41913</c:v>
                </c:pt>
                <c:pt idx="16">
                  <c:v>41944</c:v>
                </c:pt>
                <c:pt idx="17">
                  <c:v>41974</c:v>
                </c:pt>
                <c:pt idx="18">
                  <c:v>42005</c:v>
                </c:pt>
                <c:pt idx="19">
                  <c:v>42036</c:v>
                </c:pt>
                <c:pt idx="20">
                  <c:v>42064</c:v>
                </c:pt>
                <c:pt idx="21">
                  <c:v>42095</c:v>
                </c:pt>
                <c:pt idx="22">
                  <c:v>42125</c:v>
                </c:pt>
                <c:pt idx="23">
                  <c:v>42156</c:v>
                </c:pt>
                <c:pt idx="24">
                  <c:v>42186</c:v>
                </c:pt>
                <c:pt idx="25">
                  <c:v>42217</c:v>
                </c:pt>
                <c:pt idx="26">
                  <c:v>42248</c:v>
                </c:pt>
                <c:pt idx="27">
                  <c:v>42278</c:v>
                </c:pt>
                <c:pt idx="28">
                  <c:v>42309</c:v>
                </c:pt>
                <c:pt idx="29">
                  <c:v>42339</c:v>
                </c:pt>
                <c:pt idx="30">
                  <c:v>42370</c:v>
                </c:pt>
                <c:pt idx="31">
                  <c:v>42401</c:v>
                </c:pt>
                <c:pt idx="32">
                  <c:v>42430</c:v>
                </c:pt>
                <c:pt idx="33">
                  <c:v>42461</c:v>
                </c:pt>
                <c:pt idx="34">
                  <c:v>42491</c:v>
                </c:pt>
                <c:pt idx="35">
                  <c:v>42522</c:v>
                </c:pt>
                <c:pt idx="36">
                  <c:v>42552</c:v>
                </c:pt>
              </c:numCache>
            </c:numRef>
          </c:cat>
          <c:val>
            <c:numRef>
              <c:f>Sheet3!$C$4:$C$40</c:f>
            </c:numRef>
          </c:val>
          <c:smooth val="0"/>
        </c:ser>
        <c:ser>
          <c:idx val="2"/>
          <c:order val="2"/>
          <c:spPr>
            <a:ln>
              <a:solidFill>
                <a:schemeClr val="accent1"/>
              </a:solidFill>
            </a:ln>
          </c:spPr>
          <c:marker>
            <c:symbol val="square"/>
            <c:size val="5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dLbls>
            <c:dLbl>
              <c:idx val="0"/>
              <c:layout>
                <c:manualLayout>
                  <c:x val="-2.2222222222222223E-2"/>
                  <c:y val="-5.0926290463692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>
                <c:manualLayout>
                  <c:x val="-1.4043963254593176E-2"/>
                  <c:y val="-5.9340186643336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Sheet3!$A$4:$A$40</c:f>
              <c:numCache>
                <c:formatCode>m/d/yyyy</c:formatCode>
                <c:ptCount val="37"/>
                <c:pt idx="0">
                  <c:v>41456</c:v>
                </c:pt>
                <c:pt idx="1">
                  <c:v>41487</c:v>
                </c:pt>
                <c:pt idx="2">
                  <c:v>41518</c:v>
                </c:pt>
                <c:pt idx="3">
                  <c:v>41548</c:v>
                </c:pt>
                <c:pt idx="4">
                  <c:v>41579</c:v>
                </c:pt>
                <c:pt idx="5">
                  <c:v>41609</c:v>
                </c:pt>
                <c:pt idx="6">
                  <c:v>41640</c:v>
                </c:pt>
                <c:pt idx="7">
                  <c:v>41671</c:v>
                </c:pt>
                <c:pt idx="8">
                  <c:v>41699</c:v>
                </c:pt>
                <c:pt idx="9">
                  <c:v>41730</c:v>
                </c:pt>
                <c:pt idx="10">
                  <c:v>41760</c:v>
                </c:pt>
                <c:pt idx="11">
                  <c:v>41791</c:v>
                </c:pt>
                <c:pt idx="12">
                  <c:v>41821</c:v>
                </c:pt>
                <c:pt idx="13">
                  <c:v>41852</c:v>
                </c:pt>
                <c:pt idx="14">
                  <c:v>41883</c:v>
                </c:pt>
                <c:pt idx="15">
                  <c:v>41913</c:v>
                </c:pt>
                <c:pt idx="16">
                  <c:v>41944</c:v>
                </c:pt>
                <c:pt idx="17">
                  <c:v>41974</c:v>
                </c:pt>
                <c:pt idx="18">
                  <c:v>42005</c:v>
                </c:pt>
                <c:pt idx="19">
                  <c:v>42036</c:v>
                </c:pt>
                <c:pt idx="20">
                  <c:v>42064</c:v>
                </c:pt>
                <c:pt idx="21">
                  <c:v>42095</c:v>
                </c:pt>
                <c:pt idx="22">
                  <c:v>42125</c:v>
                </c:pt>
                <c:pt idx="23">
                  <c:v>42156</c:v>
                </c:pt>
                <c:pt idx="24">
                  <c:v>42186</c:v>
                </c:pt>
                <c:pt idx="25">
                  <c:v>42217</c:v>
                </c:pt>
                <c:pt idx="26">
                  <c:v>42248</c:v>
                </c:pt>
                <c:pt idx="27">
                  <c:v>42278</c:v>
                </c:pt>
                <c:pt idx="28">
                  <c:v>42309</c:v>
                </c:pt>
                <c:pt idx="29">
                  <c:v>42339</c:v>
                </c:pt>
                <c:pt idx="30">
                  <c:v>42370</c:v>
                </c:pt>
                <c:pt idx="31">
                  <c:v>42401</c:v>
                </c:pt>
                <c:pt idx="32">
                  <c:v>42430</c:v>
                </c:pt>
                <c:pt idx="33">
                  <c:v>42461</c:v>
                </c:pt>
                <c:pt idx="34">
                  <c:v>42491</c:v>
                </c:pt>
                <c:pt idx="35">
                  <c:v>42522</c:v>
                </c:pt>
                <c:pt idx="36">
                  <c:v>42552</c:v>
                </c:pt>
              </c:numCache>
            </c:numRef>
          </c:cat>
          <c:val>
            <c:numRef>
              <c:f>Sheet3!$D$4:$D$40</c:f>
              <c:numCache>
                <c:formatCode>General</c:formatCode>
                <c:ptCount val="37"/>
                <c:pt idx="0">
                  <c:v>5.2</c:v>
                </c:pt>
                <c:pt idx="1">
                  <c:v>5.3</c:v>
                </c:pt>
                <c:pt idx="2">
                  <c:v>5.5</c:v>
                </c:pt>
                <c:pt idx="3">
                  <c:v>5.7</c:v>
                </c:pt>
                <c:pt idx="4">
                  <c:v>5.8</c:v>
                </c:pt>
                <c:pt idx="5">
                  <c:v>5.8</c:v>
                </c:pt>
                <c:pt idx="6">
                  <c:v>5.8</c:v>
                </c:pt>
                <c:pt idx="7">
                  <c:v>6.1</c:v>
                </c:pt>
                <c:pt idx="8">
                  <c:v>6.4</c:v>
                </c:pt>
                <c:pt idx="9">
                  <c:v>6.5</c:v>
                </c:pt>
                <c:pt idx="10">
                  <c:v>6.8</c:v>
                </c:pt>
                <c:pt idx="11">
                  <c:v>7.1</c:v>
                </c:pt>
                <c:pt idx="12">
                  <c:v>7.3</c:v>
                </c:pt>
                <c:pt idx="13">
                  <c:v>7.4</c:v>
                </c:pt>
                <c:pt idx="14">
                  <c:v>7.7</c:v>
                </c:pt>
                <c:pt idx="15">
                  <c:v>7.8</c:v>
                </c:pt>
                <c:pt idx="16">
                  <c:v>7.9</c:v>
                </c:pt>
                <c:pt idx="17">
                  <c:v>8.1</c:v>
                </c:pt>
                <c:pt idx="18">
                  <c:v>7.9</c:v>
                </c:pt>
                <c:pt idx="19">
                  <c:v>8.4</c:v>
                </c:pt>
                <c:pt idx="20">
                  <c:v>8.9</c:v>
                </c:pt>
                <c:pt idx="21">
                  <c:v>9.1999999999999993</c:v>
                </c:pt>
                <c:pt idx="22">
                  <c:v>9.5</c:v>
                </c:pt>
                <c:pt idx="23">
                  <c:v>10</c:v>
                </c:pt>
                <c:pt idx="24">
                  <c:v>10.3</c:v>
                </c:pt>
                <c:pt idx="25">
                  <c:v>10.5</c:v>
                </c:pt>
                <c:pt idx="26">
                  <c:v>10.6</c:v>
                </c:pt>
                <c:pt idx="27">
                  <c:v>10.7</c:v>
                </c:pt>
                <c:pt idx="28">
                  <c:v>10.8</c:v>
                </c:pt>
                <c:pt idx="29">
                  <c:v>10.8</c:v>
                </c:pt>
                <c:pt idx="30">
                  <c:v>10.5</c:v>
                </c:pt>
                <c:pt idx="31">
                  <c:v>10.7</c:v>
                </c:pt>
                <c:pt idx="32">
                  <c:v>10.9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79488"/>
        <c:axId val="194881024"/>
      </c:lineChart>
      <c:dateAx>
        <c:axId val="1948794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94881024"/>
        <c:crosses val="autoZero"/>
        <c:auto val="1"/>
        <c:lblOffset val="100"/>
        <c:baseTimeUnit val="months"/>
      </c:dateAx>
      <c:valAx>
        <c:axId val="19488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94879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810465503832918E-2"/>
          <c:y val="8.0281339454924619E-2"/>
          <c:w val="0.52158676813687366"/>
          <c:h val="0.869311280228122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3"/>
            <c:bubble3D val="0"/>
            <c:spPr>
              <a:solidFill>
                <a:sysClr val="window" lastClr="FFFFFF">
                  <a:lumMod val="65000"/>
                </a:sys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 b="1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я делаю такие отчисления</c:v>
                </c:pt>
                <c:pt idx="1">
                  <c:v>Нет, не делаю, но хотел(а) бы делать такие отчисления</c:v>
                </c:pt>
                <c:pt idx="2">
                  <c:v>Нет, я не делаю отчислений в НПФ и не хочу</c:v>
                </c:pt>
                <c:pt idx="3">
                  <c:v> 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9.9516361290100708</c:v>
                </c:pt>
                <c:pt idx="1">
                  <c:v>15.519471670117735</c:v>
                </c:pt>
                <c:pt idx="2">
                  <c:v>59.060835557001475</c:v>
                </c:pt>
                <c:pt idx="3">
                  <c:v>15.468056643871153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3889637262526378"/>
          <c:y val="7.2079259711883864E-2"/>
          <c:w val="0.3288348516831463"/>
          <c:h val="0.84855455875273123"/>
        </c:manualLayout>
      </c:layout>
      <c:overlay val="0"/>
      <c:txPr>
        <a:bodyPr/>
        <a:lstStyle/>
        <a:p>
          <a:pPr>
            <a:defRPr lang="ru-RU"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598005130175979E-2"/>
          <c:y val="0.10180796910654731"/>
          <c:w val="0.46196300325734485"/>
          <c:h val="0.785831747334900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Никакими</c:v>
                </c:pt>
                <c:pt idx="1">
                  <c:v>Банковский депозит</c:v>
                </c:pt>
                <c:pt idx="2">
                  <c:v>Пенсионный фонд</c:v>
                </c:pt>
                <c:pt idx="3">
                  <c:v>Недвижимость</c:v>
                </c:pt>
                <c:pt idx="4">
                  <c:v>Страхование жизни</c:v>
                </c:pt>
                <c:pt idx="5">
                  <c:v>Ценные бумаги</c:v>
                </c:pt>
                <c:pt idx="6">
                  <c:v>Другое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19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507005038362571"/>
          <c:y val="8.6212801598852293E-2"/>
          <c:w val="0.35857720086093353"/>
          <c:h val="0.842966667081306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049712425115142E-2"/>
          <c:y val="3.2262603224833292E-2"/>
          <c:w val="0.62766080322785645"/>
          <c:h val="0.8462101762129428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chemeClr val="accent6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Хорошо знаю</c:v>
                </c:pt>
                <c:pt idx="1">
                  <c:v>Что-то слышал(а)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28.43948571613517</c:v>
                </c:pt>
                <c:pt idx="1">
                  <c:v>45.818699816203228</c:v>
                </c:pt>
                <c:pt idx="2">
                  <c:v>25.741814467661932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300294412957673"/>
          <c:y val="0.2704784735367009"/>
          <c:w val="0.24058804981577023"/>
          <c:h val="0.4307717563940528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782392825896763"/>
          <c:y val="7.6521463516277784E-3"/>
          <c:w val="0.5217607174103237"/>
          <c:h val="0.986625814523840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F2A9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Размер заработной платы</c:v>
                </c:pt>
                <c:pt idx="1">
                  <c:v>Продолжительность трудового стажа</c:v>
                </c:pt>
                <c:pt idx="2">
                  <c:v>Работа после ухода на пенсию</c:v>
                </c:pt>
                <c:pt idx="3">
                  <c:v>Выбранный человеком вариант пенсионного обеспечения в системе обязательного пенсионного страхования</c:v>
                </c:pt>
                <c:pt idx="4">
                  <c:v>Инвалидность</c:v>
                </c:pt>
                <c:pt idx="5">
                  <c:v>Обращение за назначением пенсии позже достижения установленного пенсионного возраста</c:v>
                </c:pt>
                <c:pt idx="6">
                  <c:v>Военная служба по призыву</c:v>
                </c:pt>
                <c:pt idx="7">
                  <c:v>Отпуск по уходу за ребенком</c:v>
                </c:pt>
                <c:pt idx="8">
                  <c:v>Ставка рефинансирования, устанавливаемая Центральным Банком РФ</c:v>
                </c:pt>
                <c:pt idx="9">
                  <c:v>Коэффициент устойчивости банковского сектора</c:v>
                </c:pt>
                <c:pt idx="10">
                  <c:v>Инвестиционный рейтинг Российской Федерации, устанавливаемый международными рейтинговыми агентствами</c:v>
                </c:pt>
                <c:pt idx="11">
                  <c:v>Инвестиционный рейтинг Российской Федерации, устанавливаемый российскими рейтинговыми агентствами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62.208903939981326</c:v>
                </c:pt>
                <c:pt idx="1">
                  <c:v>54.679088106531303</c:v>
                </c:pt>
                <c:pt idx="2">
                  <c:v>25.86721470568683</c:v>
                </c:pt>
                <c:pt idx="3">
                  <c:v>21.465109271678912</c:v>
                </c:pt>
                <c:pt idx="4">
                  <c:v>18.297096119585927</c:v>
                </c:pt>
                <c:pt idx="5">
                  <c:v>11.151115504970305</c:v>
                </c:pt>
                <c:pt idx="6">
                  <c:v>8.7571716313873829</c:v>
                </c:pt>
                <c:pt idx="7">
                  <c:v>7.6755532435880456</c:v>
                </c:pt>
                <c:pt idx="8">
                  <c:v>5.7227141641140555</c:v>
                </c:pt>
                <c:pt idx="9">
                  <c:v>3.0908472727392389</c:v>
                </c:pt>
                <c:pt idx="10">
                  <c:v>1.1748672240562985</c:v>
                </c:pt>
                <c:pt idx="11">
                  <c:v>1.1615302311360984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194797568"/>
        <c:axId val="194800256"/>
      </c:barChart>
      <c:catAx>
        <c:axId val="1947975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94800256"/>
        <c:crosses val="autoZero"/>
        <c:auto val="1"/>
        <c:lblAlgn val="ctr"/>
        <c:lblOffset val="100"/>
        <c:noMultiLvlLbl val="0"/>
      </c:catAx>
      <c:valAx>
        <c:axId val="194800256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194797568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НАФИ_цветовая_схема">
    <a:dk1>
      <a:sysClr val="windowText" lastClr="000000"/>
    </a:dk1>
    <a:lt1>
      <a:sysClr val="window" lastClr="FFFFFF"/>
    </a:lt1>
    <a:dk2>
      <a:srgbClr val="00859B"/>
    </a:dk2>
    <a:lt2>
      <a:srgbClr val="F2A900"/>
    </a:lt2>
    <a:accent1>
      <a:srgbClr val="BC204B"/>
    </a:accent1>
    <a:accent2>
      <a:srgbClr val="06038D"/>
    </a:accent2>
    <a:accent3>
      <a:srgbClr val="00A3E0"/>
    </a:accent3>
    <a:accent4>
      <a:srgbClr val="93328E"/>
    </a:accent4>
    <a:accent5>
      <a:srgbClr val="97D700"/>
    </a:accent5>
    <a:accent6>
      <a:srgbClr val="97999B"/>
    </a:accent6>
    <a:hlink>
      <a:srgbClr val="F2A900"/>
    </a:hlink>
    <a:folHlink>
      <a:srgbClr val="FFCE5E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НАФИ_цветовая_схема">
    <a:dk1>
      <a:sysClr val="windowText" lastClr="000000"/>
    </a:dk1>
    <a:lt1>
      <a:sysClr val="window" lastClr="FFFFFF"/>
    </a:lt1>
    <a:dk2>
      <a:srgbClr val="00859B"/>
    </a:dk2>
    <a:lt2>
      <a:srgbClr val="F2A900"/>
    </a:lt2>
    <a:accent1>
      <a:srgbClr val="BC204B"/>
    </a:accent1>
    <a:accent2>
      <a:srgbClr val="06038D"/>
    </a:accent2>
    <a:accent3>
      <a:srgbClr val="00A3E0"/>
    </a:accent3>
    <a:accent4>
      <a:srgbClr val="93328E"/>
    </a:accent4>
    <a:accent5>
      <a:srgbClr val="97D700"/>
    </a:accent5>
    <a:accent6>
      <a:srgbClr val="97999B"/>
    </a:accent6>
    <a:hlink>
      <a:srgbClr val="F2A900"/>
    </a:hlink>
    <a:folHlink>
      <a:srgbClr val="FFCE5E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НАФИ_цветовая_схема">
    <a:dk1>
      <a:sysClr val="windowText" lastClr="000000"/>
    </a:dk1>
    <a:lt1>
      <a:sysClr val="window" lastClr="FFFFFF"/>
    </a:lt1>
    <a:dk2>
      <a:srgbClr val="00859B"/>
    </a:dk2>
    <a:lt2>
      <a:srgbClr val="F2A900"/>
    </a:lt2>
    <a:accent1>
      <a:srgbClr val="BC204B"/>
    </a:accent1>
    <a:accent2>
      <a:srgbClr val="06038D"/>
    </a:accent2>
    <a:accent3>
      <a:srgbClr val="00A3E0"/>
    </a:accent3>
    <a:accent4>
      <a:srgbClr val="93328E"/>
    </a:accent4>
    <a:accent5>
      <a:srgbClr val="97D700"/>
    </a:accent5>
    <a:accent6>
      <a:srgbClr val="97999B"/>
    </a:accent6>
    <a:hlink>
      <a:srgbClr val="F2A900"/>
    </a:hlink>
    <a:folHlink>
      <a:srgbClr val="FFCE5E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73EE-F11A-4404-8958-8ED13A73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Антонян Сергей</dc:creator>
  <cp:lastModifiedBy>Комаров Алексей Константинович</cp:lastModifiedBy>
  <cp:revision>6</cp:revision>
  <cp:lastPrinted>2016-11-22T07:37:00Z</cp:lastPrinted>
  <dcterms:created xsi:type="dcterms:W3CDTF">2016-11-21T13:12:00Z</dcterms:created>
  <dcterms:modified xsi:type="dcterms:W3CDTF">2016-12-12T08:29:00Z</dcterms:modified>
</cp:coreProperties>
</file>