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C3718" w14:textId="6EB1D352" w:rsidR="00403B95" w:rsidRDefault="00403B95" w:rsidP="00403B95">
      <w:pPr>
        <w:autoSpaceDE w:val="0"/>
        <w:autoSpaceDN w:val="0"/>
        <w:adjustRightInd w:val="0"/>
        <w:spacing w:before="120" w:after="0" w:line="240" w:lineRule="auto"/>
        <w:jc w:val="center"/>
        <w:rPr>
          <w:rFonts w:ascii="Times New Roman" w:hAnsi="Times New Roman" w:cs="Times New Roman"/>
          <w:b/>
          <w:color w:val="000000" w:themeColor="text1"/>
          <w:sz w:val="32"/>
          <w:szCs w:val="32"/>
        </w:rPr>
      </w:pPr>
      <w:r w:rsidRPr="002C7BCF">
        <w:rPr>
          <w:rFonts w:ascii="Times New Roman" w:hAnsi="Times New Roman" w:cs="Times New Roman"/>
          <w:b/>
          <w:color w:val="000000" w:themeColor="text1"/>
          <w:sz w:val="32"/>
          <w:szCs w:val="32"/>
        </w:rPr>
        <w:t>Развитие института специализированного депозитария для негосударственных пенсионных фондов</w:t>
      </w:r>
    </w:p>
    <w:p w14:paraId="6764058A" w14:textId="77777777" w:rsidR="002C7BCF" w:rsidRPr="002C7BCF" w:rsidRDefault="002C7BCF" w:rsidP="00403B95">
      <w:pPr>
        <w:autoSpaceDE w:val="0"/>
        <w:autoSpaceDN w:val="0"/>
        <w:adjustRightInd w:val="0"/>
        <w:spacing w:before="120" w:after="0" w:line="240" w:lineRule="auto"/>
        <w:jc w:val="center"/>
        <w:rPr>
          <w:rFonts w:ascii="Times New Roman" w:hAnsi="Times New Roman" w:cs="Times New Roman"/>
          <w:b/>
          <w:color w:val="000000" w:themeColor="text1"/>
          <w:sz w:val="32"/>
          <w:szCs w:val="32"/>
        </w:rPr>
      </w:pPr>
    </w:p>
    <w:p w14:paraId="38FA60F8" w14:textId="6278B62B" w:rsidR="00403B95" w:rsidRDefault="002C7BCF" w:rsidP="002C7BCF">
      <w:pPr>
        <w:autoSpaceDE w:val="0"/>
        <w:autoSpaceDN w:val="0"/>
        <w:adjustRightInd w:val="0"/>
        <w:spacing w:before="120" w:after="0" w:line="240" w:lineRule="auto"/>
        <w:jc w:val="right"/>
        <w:rPr>
          <w:rFonts w:ascii="Times New Roman" w:hAnsi="Times New Roman" w:cs="Times New Roman"/>
          <w:color w:val="000000" w:themeColor="text1"/>
          <w:sz w:val="24"/>
          <w:szCs w:val="24"/>
        </w:rPr>
      </w:pPr>
      <w:r>
        <w:rPr>
          <w:noProof/>
          <w:lang w:eastAsia="ru-RU"/>
        </w:rPr>
        <w:drawing>
          <wp:inline distT="0" distB="0" distL="0" distR="0" wp14:anchorId="2E0657BA" wp14:editId="66E3ABA8">
            <wp:extent cx="1526419" cy="1822259"/>
            <wp:effectExtent l="0" t="0" r="0" b="6985"/>
            <wp:docPr id="1" name="Рисунок 1" descr="http://www.sdkgarant.ru/images/s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kgarant.ru/images/sd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94" cy="1822468"/>
                    </a:xfrm>
                    <a:prstGeom prst="rect">
                      <a:avLst/>
                    </a:prstGeom>
                    <a:noFill/>
                    <a:ln>
                      <a:noFill/>
                    </a:ln>
                  </pic:spPr>
                </pic:pic>
              </a:graphicData>
            </a:graphic>
          </wp:inline>
        </w:drawing>
      </w:r>
    </w:p>
    <w:p w14:paraId="2C52E017" w14:textId="473D306F" w:rsidR="009A40AD" w:rsidRPr="002C7BCF" w:rsidRDefault="002C7BCF" w:rsidP="009A40AD">
      <w:pPr>
        <w:jc w:val="right"/>
        <w:rPr>
          <w:rFonts w:ascii="Times New Roman" w:hAnsi="Times New Roman" w:cs="Times New Roman"/>
          <w:i/>
          <w:lang w:eastAsia="ru-RU"/>
        </w:rPr>
      </w:pPr>
      <w:r>
        <w:rPr>
          <w:rFonts w:ascii="Times New Roman" w:hAnsi="Times New Roman" w:cs="Times New Roman"/>
          <w:i/>
          <w:lang w:eastAsia="ru-RU"/>
        </w:rPr>
        <w:br/>
      </w:r>
      <w:r w:rsidR="009A40AD" w:rsidRPr="002C7BCF">
        <w:rPr>
          <w:rFonts w:ascii="Times New Roman" w:hAnsi="Times New Roman" w:cs="Times New Roman"/>
          <w:i/>
          <w:lang w:eastAsia="ru-RU"/>
        </w:rPr>
        <w:t xml:space="preserve">Татьяна </w:t>
      </w:r>
      <w:proofErr w:type="spellStart"/>
      <w:r w:rsidR="009A40AD" w:rsidRPr="002C7BCF">
        <w:rPr>
          <w:rFonts w:ascii="Times New Roman" w:hAnsi="Times New Roman" w:cs="Times New Roman"/>
          <w:i/>
          <w:lang w:eastAsia="ru-RU"/>
        </w:rPr>
        <w:t>Есаулкова</w:t>
      </w:r>
      <w:proofErr w:type="spellEnd"/>
    </w:p>
    <w:p w14:paraId="026B9D83" w14:textId="77777777" w:rsidR="009A40AD" w:rsidRPr="002C7BCF" w:rsidRDefault="009A40AD" w:rsidP="009A40AD">
      <w:pPr>
        <w:jc w:val="right"/>
        <w:rPr>
          <w:rFonts w:ascii="Times New Roman" w:hAnsi="Times New Roman" w:cs="Times New Roman"/>
          <w:i/>
          <w:lang w:eastAsia="ru-RU"/>
        </w:rPr>
      </w:pPr>
      <w:r w:rsidRPr="002C7BCF">
        <w:rPr>
          <w:rFonts w:ascii="Times New Roman" w:hAnsi="Times New Roman" w:cs="Times New Roman"/>
          <w:i/>
          <w:lang w:eastAsia="ru-RU"/>
        </w:rPr>
        <w:t>Генеральный директор</w:t>
      </w:r>
    </w:p>
    <w:p w14:paraId="7586652E" w14:textId="77777777" w:rsidR="009A40AD" w:rsidRPr="002C7BCF" w:rsidRDefault="009A40AD" w:rsidP="009A40AD">
      <w:pPr>
        <w:jc w:val="right"/>
        <w:rPr>
          <w:rFonts w:ascii="Times New Roman" w:hAnsi="Times New Roman" w:cs="Times New Roman"/>
          <w:i/>
          <w:lang w:eastAsia="ru-RU"/>
        </w:rPr>
      </w:pPr>
      <w:r w:rsidRPr="002C7BCF">
        <w:rPr>
          <w:rFonts w:ascii="Times New Roman" w:hAnsi="Times New Roman" w:cs="Times New Roman"/>
          <w:i/>
          <w:lang w:eastAsia="ru-RU"/>
        </w:rPr>
        <w:t>СДК «Гарант»</w:t>
      </w:r>
    </w:p>
    <w:p w14:paraId="47AD19B1" w14:textId="77777777" w:rsidR="009A40AD" w:rsidRDefault="009A40AD" w:rsidP="00021C13">
      <w:pPr>
        <w:autoSpaceDE w:val="0"/>
        <w:autoSpaceDN w:val="0"/>
        <w:adjustRightInd w:val="0"/>
        <w:spacing w:before="120" w:after="0" w:line="240" w:lineRule="auto"/>
        <w:jc w:val="both"/>
        <w:rPr>
          <w:rFonts w:ascii="Times New Roman" w:hAnsi="Times New Roman" w:cs="Times New Roman"/>
          <w:color w:val="000000" w:themeColor="text1"/>
          <w:sz w:val="24"/>
          <w:szCs w:val="24"/>
        </w:rPr>
      </w:pPr>
    </w:p>
    <w:p w14:paraId="56BF76B6" w14:textId="77777777" w:rsidR="009A40AD" w:rsidRDefault="009A40AD" w:rsidP="00021C13">
      <w:pPr>
        <w:autoSpaceDE w:val="0"/>
        <w:autoSpaceDN w:val="0"/>
        <w:adjustRightInd w:val="0"/>
        <w:spacing w:before="120" w:after="0" w:line="240" w:lineRule="auto"/>
        <w:jc w:val="both"/>
        <w:rPr>
          <w:rFonts w:ascii="Times New Roman" w:hAnsi="Times New Roman" w:cs="Times New Roman"/>
          <w:color w:val="000000" w:themeColor="text1"/>
          <w:sz w:val="24"/>
          <w:szCs w:val="24"/>
        </w:rPr>
      </w:pPr>
    </w:p>
    <w:p w14:paraId="2FABB2A4" w14:textId="42F63E8C" w:rsidR="004F1A3F" w:rsidRPr="002C7BCF" w:rsidRDefault="006D506C" w:rsidP="002C7BCF">
      <w:pPr>
        <w:pStyle w:val="2"/>
        <w:rPr>
          <w:color w:val="000000" w:themeColor="text1"/>
          <w:szCs w:val="26"/>
        </w:rPr>
      </w:pPr>
      <w:r w:rsidRPr="002C7BCF">
        <w:rPr>
          <w:color w:val="000000" w:themeColor="text1"/>
          <w:szCs w:val="26"/>
        </w:rPr>
        <w:t xml:space="preserve">В </w:t>
      </w:r>
      <w:r w:rsidR="009A40AD" w:rsidRPr="002C7BCF">
        <w:rPr>
          <w:color w:val="000000" w:themeColor="text1"/>
          <w:szCs w:val="26"/>
        </w:rPr>
        <w:t xml:space="preserve">сентябре </w:t>
      </w:r>
      <w:r w:rsidRPr="002C7BCF">
        <w:rPr>
          <w:color w:val="000000" w:themeColor="text1"/>
          <w:szCs w:val="26"/>
        </w:rPr>
        <w:t>2017 год</w:t>
      </w:r>
      <w:r w:rsidR="009A40AD" w:rsidRPr="002C7BCF">
        <w:rPr>
          <w:color w:val="000000" w:themeColor="text1"/>
          <w:szCs w:val="26"/>
        </w:rPr>
        <w:t>а</w:t>
      </w:r>
      <w:r w:rsidRPr="002C7BCF">
        <w:rPr>
          <w:color w:val="000000" w:themeColor="text1"/>
          <w:szCs w:val="26"/>
        </w:rPr>
        <w:t xml:space="preserve"> </w:t>
      </w:r>
      <w:r w:rsidR="006341B5" w:rsidRPr="002C7BCF">
        <w:rPr>
          <w:color w:val="000000" w:themeColor="text1"/>
          <w:szCs w:val="26"/>
        </w:rPr>
        <w:t>индустрии негосударственных пенсио</w:t>
      </w:r>
      <w:r w:rsidR="002C7BCF">
        <w:rPr>
          <w:color w:val="000000" w:themeColor="text1"/>
          <w:szCs w:val="26"/>
        </w:rPr>
        <w:t>н</w:t>
      </w:r>
      <w:r w:rsidR="006341B5" w:rsidRPr="002C7BCF">
        <w:rPr>
          <w:color w:val="000000" w:themeColor="text1"/>
          <w:szCs w:val="26"/>
        </w:rPr>
        <w:t xml:space="preserve">ных фондов на российском финансовом рынке </w:t>
      </w:r>
      <w:r w:rsidRPr="002C7BCF">
        <w:rPr>
          <w:color w:val="000000" w:themeColor="text1"/>
          <w:szCs w:val="26"/>
        </w:rPr>
        <w:t xml:space="preserve">исполняется 25 лет. </w:t>
      </w:r>
      <w:proofErr w:type="gramStart"/>
      <w:r w:rsidR="006341B5" w:rsidRPr="002C7BCF">
        <w:rPr>
          <w:color w:val="000000" w:themeColor="text1"/>
          <w:szCs w:val="26"/>
        </w:rPr>
        <w:t>Последние</w:t>
      </w:r>
      <w:proofErr w:type="gramEnd"/>
      <w:r w:rsidR="006341B5" w:rsidRPr="002C7BCF">
        <w:rPr>
          <w:color w:val="000000" w:themeColor="text1"/>
          <w:szCs w:val="26"/>
        </w:rPr>
        <w:t xml:space="preserve"> </w:t>
      </w:r>
      <w:r w:rsidRPr="002C7BCF">
        <w:rPr>
          <w:color w:val="000000" w:themeColor="text1"/>
          <w:szCs w:val="26"/>
        </w:rPr>
        <w:t xml:space="preserve">17 лет </w:t>
      </w:r>
      <w:r w:rsidR="006341B5" w:rsidRPr="002C7BCF">
        <w:rPr>
          <w:color w:val="000000" w:themeColor="text1"/>
          <w:szCs w:val="26"/>
        </w:rPr>
        <w:t xml:space="preserve">деятельность негосударственного пенсионного фонда неразрывно связана со специализированным депозитарием. </w:t>
      </w:r>
      <w:r w:rsidR="004F1A3F" w:rsidRPr="002C7BCF">
        <w:rPr>
          <w:color w:val="000000" w:themeColor="text1"/>
          <w:szCs w:val="26"/>
        </w:rPr>
        <w:t>За это время специализированные депозитарии продел</w:t>
      </w:r>
      <w:r w:rsidR="00EB33E4" w:rsidRPr="002C7BCF">
        <w:rPr>
          <w:color w:val="000000" w:themeColor="text1"/>
          <w:szCs w:val="26"/>
        </w:rPr>
        <w:t>али огромную работу, направленную</w:t>
      </w:r>
      <w:r w:rsidR="004F1A3F" w:rsidRPr="002C7BCF">
        <w:rPr>
          <w:color w:val="000000" w:themeColor="text1"/>
          <w:szCs w:val="26"/>
        </w:rPr>
        <w:t xml:space="preserve"> на</w:t>
      </w:r>
      <w:r w:rsidR="00EB33E4" w:rsidRPr="002C7BCF">
        <w:rPr>
          <w:color w:val="000000" w:themeColor="text1"/>
          <w:szCs w:val="26"/>
        </w:rPr>
        <w:t xml:space="preserve"> реализацию </w:t>
      </w:r>
      <w:r w:rsidR="004F1A3F" w:rsidRPr="002C7BCF">
        <w:rPr>
          <w:color w:val="000000" w:themeColor="text1"/>
          <w:szCs w:val="26"/>
        </w:rPr>
        <w:t xml:space="preserve">в полном объеме </w:t>
      </w:r>
      <w:r w:rsidR="00EB33E4" w:rsidRPr="002C7BCF">
        <w:rPr>
          <w:color w:val="000000" w:themeColor="text1"/>
          <w:szCs w:val="26"/>
        </w:rPr>
        <w:t>всех возложенных на него задач и функций</w:t>
      </w:r>
      <w:r w:rsidR="004F1A3F" w:rsidRPr="002C7BCF">
        <w:rPr>
          <w:color w:val="000000" w:themeColor="text1"/>
          <w:szCs w:val="26"/>
        </w:rPr>
        <w:t>.</w:t>
      </w:r>
    </w:p>
    <w:p w14:paraId="3DF728F0" w14:textId="2866C601" w:rsidR="004F1A3F" w:rsidRPr="002C7BCF" w:rsidRDefault="00EB33E4" w:rsidP="002C7BCF">
      <w:pPr>
        <w:pStyle w:val="2"/>
        <w:rPr>
          <w:szCs w:val="26"/>
        </w:rPr>
      </w:pPr>
      <w:bookmarkStart w:id="0" w:name="_GoBack"/>
      <w:r w:rsidRPr="002C7BCF">
        <w:rPr>
          <w:szCs w:val="26"/>
        </w:rPr>
        <w:t>Сегодня м</w:t>
      </w:r>
      <w:r w:rsidR="004F1A3F" w:rsidRPr="002C7BCF">
        <w:rPr>
          <w:szCs w:val="26"/>
        </w:rPr>
        <w:t xml:space="preserve">ожно с уверенностью сказать, что специализированный депозитарий является признанным участником рыночной инфраструктуры, необходимость и значимость существования которого признают не только регулирующие органы, но и все участники, в </w:t>
      </w:r>
      <w:r w:rsidRPr="002C7BCF">
        <w:rPr>
          <w:szCs w:val="26"/>
        </w:rPr>
        <w:t>первую очередь</w:t>
      </w:r>
      <w:r w:rsidR="004F1A3F" w:rsidRPr="002C7BCF">
        <w:rPr>
          <w:szCs w:val="26"/>
        </w:rPr>
        <w:t>, негосударственные пенсионные фонды.</w:t>
      </w:r>
    </w:p>
    <w:p w14:paraId="1F7042FB" w14:textId="4F8C68B5" w:rsidR="00C90FF2" w:rsidRPr="002C7BCF" w:rsidRDefault="006D506C" w:rsidP="002C7BCF">
      <w:pPr>
        <w:pStyle w:val="2"/>
        <w:rPr>
          <w:color w:val="000000" w:themeColor="text1"/>
          <w:szCs w:val="26"/>
        </w:rPr>
      </w:pPr>
      <w:r w:rsidRPr="002C7BCF">
        <w:rPr>
          <w:color w:val="000000" w:themeColor="text1"/>
          <w:szCs w:val="26"/>
        </w:rPr>
        <w:t xml:space="preserve"> </w:t>
      </w:r>
      <w:r w:rsidR="006341B5" w:rsidRPr="002C7BCF">
        <w:rPr>
          <w:color w:val="000000" w:themeColor="text1"/>
          <w:szCs w:val="26"/>
        </w:rPr>
        <w:t>Институт спе</w:t>
      </w:r>
      <w:r w:rsidRPr="002C7BCF">
        <w:rPr>
          <w:color w:val="000000" w:themeColor="text1"/>
          <w:szCs w:val="26"/>
        </w:rPr>
        <w:t>циализированн</w:t>
      </w:r>
      <w:r w:rsidR="006341B5" w:rsidRPr="002C7BCF">
        <w:rPr>
          <w:color w:val="000000" w:themeColor="text1"/>
          <w:szCs w:val="26"/>
        </w:rPr>
        <w:t xml:space="preserve">ого </w:t>
      </w:r>
      <w:r w:rsidRPr="002C7BCF">
        <w:rPr>
          <w:color w:val="000000" w:themeColor="text1"/>
          <w:szCs w:val="26"/>
        </w:rPr>
        <w:t>депозитария</w:t>
      </w:r>
      <w:r w:rsidR="006341B5" w:rsidRPr="002C7BCF">
        <w:rPr>
          <w:color w:val="000000" w:themeColor="text1"/>
          <w:szCs w:val="26"/>
        </w:rPr>
        <w:t xml:space="preserve"> для негосударственного пенсионного фонда был введен Постановлением Правительства РФ от 28.04.2000 г. № 383 «О порядке заключения негосударственными пенсионными фондами договоров с депозитариями и особенностях деятельности депозитариев, обслуживающих негосударственные пенсионные фонды» с целью </w:t>
      </w:r>
      <w:r w:rsidRPr="002C7BCF">
        <w:rPr>
          <w:color w:val="000000" w:themeColor="text1"/>
          <w:szCs w:val="26"/>
        </w:rPr>
        <w:t xml:space="preserve">защиты </w:t>
      </w:r>
      <w:r w:rsidRPr="002C7BCF">
        <w:rPr>
          <w:szCs w:val="26"/>
        </w:rPr>
        <w:t xml:space="preserve">интересов </w:t>
      </w:r>
      <w:r w:rsidR="006E3CDB" w:rsidRPr="002C7BCF">
        <w:rPr>
          <w:szCs w:val="26"/>
        </w:rPr>
        <w:t xml:space="preserve">его </w:t>
      </w:r>
      <w:r w:rsidR="00AD0CD6" w:rsidRPr="002C7BCF">
        <w:rPr>
          <w:szCs w:val="26"/>
        </w:rPr>
        <w:t>вкладчиков и участников</w:t>
      </w:r>
      <w:r w:rsidRPr="002C7BCF">
        <w:rPr>
          <w:szCs w:val="26"/>
        </w:rPr>
        <w:t>.</w:t>
      </w:r>
      <w:r w:rsidRPr="002C7BCF">
        <w:rPr>
          <w:color w:val="000000" w:themeColor="text1"/>
          <w:szCs w:val="26"/>
        </w:rPr>
        <w:t xml:space="preserve"> </w:t>
      </w:r>
      <w:r w:rsidR="00AD0CD6" w:rsidRPr="002C7BCF">
        <w:rPr>
          <w:color w:val="000000" w:themeColor="text1"/>
          <w:szCs w:val="26"/>
        </w:rPr>
        <w:t xml:space="preserve">Основными функциями </w:t>
      </w:r>
      <w:r w:rsidRPr="002C7BCF">
        <w:rPr>
          <w:color w:val="000000" w:themeColor="text1"/>
          <w:szCs w:val="26"/>
        </w:rPr>
        <w:t>спец</w:t>
      </w:r>
      <w:r w:rsidR="00AD0CD6" w:rsidRPr="002C7BCF">
        <w:rPr>
          <w:color w:val="000000" w:themeColor="text1"/>
          <w:szCs w:val="26"/>
        </w:rPr>
        <w:t xml:space="preserve">иализированного </w:t>
      </w:r>
      <w:r w:rsidRPr="002C7BCF">
        <w:rPr>
          <w:color w:val="000000" w:themeColor="text1"/>
          <w:szCs w:val="26"/>
        </w:rPr>
        <w:t>депозитари</w:t>
      </w:r>
      <w:r w:rsidR="00AD0CD6" w:rsidRPr="002C7BCF">
        <w:rPr>
          <w:color w:val="000000" w:themeColor="text1"/>
          <w:szCs w:val="26"/>
        </w:rPr>
        <w:t>я</w:t>
      </w:r>
      <w:r w:rsidRPr="002C7BCF">
        <w:rPr>
          <w:color w:val="000000" w:themeColor="text1"/>
          <w:szCs w:val="26"/>
        </w:rPr>
        <w:t xml:space="preserve"> </w:t>
      </w:r>
      <w:r w:rsidR="00EB33E4" w:rsidRPr="002C7BCF">
        <w:rPr>
          <w:color w:val="000000" w:themeColor="text1"/>
          <w:szCs w:val="26"/>
        </w:rPr>
        <w:t xml:space="preserve">были </w:t>
      </w:r>
      <w:r w:rsidR="00C90FF2" w:rsidRPr="002C7BCF">
        <w:rPr>
          <w:color w:val="000000" w:themeColor="text1"/>
          <w:szCs w:val="26"/>
        </w:rPr>
        <w:t xml:space="preserve">определены </w:t>
      </w:r>
      <w:r w:rsidRPr="002C7BCF">
        <w:rPr>
          <w:color w:val="000000" w:themeColor="text1"/>
          <w:szCs w:val="26"/>
        </w:rPr>
        <w:t xml:space="preserve">хранение </w:t>
      </w:r>
      <w:r w:rsidR="00C90FF2" w:rsidRPr="002C7BCF">
        <w:rPr>
          <w:color w:val="000000" w:themeColor="text1"/>
          <w:szCs w:val="26"/>
        </w:rPr>
        <w:t xml:space="preserve">и учет имущества, в том числе прав на ценные бумаги, в которое размещены средства пенсионных резервов, и </w:t>
      </w:r>
      <w:proofErr w:type="gramStart"/>
      <w:r w:rsidR="00C90FF2" w:rsidRPr="002C7BCF">
        <w:rPr>
          <w:color w:val="000000" w:themeColor="text1"/>
          <w:szCs w:val="26"/>
        </w:rPr>
        <w:t>контроль за</w:t>
      </w:r>
      <w:proofErr w:type="gramEnd"/>
      <w:r w:rsidR="00C90FF2" w:rsidRPr="002C7BCF">
        <w:rPr>
          <w:color w:val="000000" w:themeColor="text1"/>
          <w:szCs w:val="26"/>
        </w:rPr>
        <w:t xml:space="preserve"> распоряжением </w:t>
      </w:r>
      <w:r w:rsidR="00C90FF2" w:rsidRPr="002C7BCF">
        <w:rPr>
          <w:color w:val="000000" w:themeColor="text1"/>
          <w:szCs w:val="26"/>
        </w:rPr>
        <w:lastRenderedPageBreak/>
        <w:t>фондом этим имуществом в соответствии с действующими нормативными правовыми актами Российской Федерации и Регламентом специализированного депозитария.</w:t>
      </w:r>
    </w:p>
    <w:p w14:paraId="074E81B5" w14:textId="5315D53A" w:rsidR="004F1A3F" w:rsidRPr="002C7BCF" w:rsidRDefault="004F1A3F" w:rsidP="002C7BCF">
      <w:pPr>
        <w:pStyle w:val="2"/>
        <w:rPr>
          <w:color w:val="000000" w:themeColor="text1"/>
          <w:szCs w:val="26"/>
        </w:rPr>
      </w:pPr>
      <w:r w:rsidRPr="002C7BCF">
        <w:rPr>
          <w:color w:val="000000" w:themeColor="text1"/>
          <w:szCs w:val="26"/>
        </w:rPr>
        <w:t>Специализированный депозитарий – организация, созданная в соответствии с законодательством Российской Федерации, имеющая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 Услуги специализированного депозитария в каждый момент времени могут оказываться фонду только одним юридическим лицом, имеющим соответствующие лицензии.</w:t>
      </w:r>
    </w:p>
    <w:p w14:paraId="6E07C792" w14:textId="065504E7" w:rsidR="006E3CDB" w:rsidRPr="002C7BCF" w:rsidRDefault="006E3CDB" w:rsidP="002C7BCF">
      <w:pPr>
        <w:pStyle w:val="2"/>
        <w:rPr>
          <w:color w:val="000000" w:themeColor="text1"/>
          <w:szCs w:val="26"/>
        </w:rPr>
      </w:pPr>
      <w:r w:rsidRPr="002C7BCF">
        <w:rPr>
          <w:color w:val="000000" w:themeColor="text1"/>
          <w:szCs w:val="26"/>
        </w:rPr>
        <w:t>Для негосударственного пенсионного фонда выбор специализированного депо</w:t>
      </w:r>
      <w:r w:rsidR="004F1A3F" w:rsidRPr="002C7BCF">
        <w:rPr>
          <w:color w:val="000000" w:themeColor="text1"/>
          <w:szCs w:val="26"/>
        </w:rPr>
        <w:t xml:space="preserve">зитария – это </w:t>
      </w:r>
      <w:r w:rsidRPr="002C7BCF">
        <w:rPr>
          <w:color w:val="000000" w:themeColor="text1"/>
          <w:szCs w:val="26"/>
        </w:rPr>
        <w:t xml:space="preserve">стратегический момент, который во многом определяет надежность и эффективность инвестиционной деятельности фонда, особенно с ростом </w:t>
      </w:r>
      <w:r w:rsidR="00EB33E4" w:rsidRPr="002C7BCF">
        <w:rPr>
          <w:color w:val="000000" w:themeColor="text1"/>
          <w:szCs w:val="26"/>
        </w:rPr>
        <w:t>его активов</w:t>
      </w:r>
      <w:r w:rsidRPr="002C7BCF">
        <w:rPr>
          <w:color w:val="000000" w:themeColor="text1"/>
          <w:szCs w:val="26"/>
        </w:rPr>
        <w:t>.</w:t>
      </w:r>
    </w:p>
    <w:p w14:paraId="3CAC1E4B" w14:textId="00B962DE" w:rsidR="00CF0961" w:rsidRPr="002C7BCF" w:rsidRDefault="00506BAD" w:rsidP="002C7BCF">
      <w:pPr>
        <w:pStyle w:val="2"/>
        <w:rPr>
          <w:color w:val="000000" w:themeColor="text1"/>
          <w:szCs w:val="26"/>
        </w:rPr>
      </w:pPr>
      <w:r w:rsidRPr="002C7BCF">
        <w:rPr>
          <w:color w:val="000000" w:themeColor="text1"/>
          <w:szCs w:val="26"/>
        </w:rPr>
        <w:t xml:space="preserve">В 2000 году начал свою работу специализированный депозитарий ООО «СДК «Гарант». </w:t>
      </w:r>
      <w:r w:rsidR="009A40AD" w:rsidRPr="002C7BCF">
        <w:rPr>
          <w:color w:val="000000" w:themeColor="text1"/>
          <w:szCs w:val="26"/>
        </w:rPr>
        <w:t>П</w:t>
      </w:r>
      <w:r w:rsidR="00F50723" w:rsidRPr="002C7BCF">
        <w:rPr>
          <w:color w:val="000000" w:themeColor="text1"/>
          <w:szCs w:val="26"/>
        </w:rPr>
        <w:t xml:space="preserve">ервыми </w:t>
      </w:r>
      <w:r w:rsidR="00EB33E4" w:rsidRPr="002C7BCF">
        <w:rPr>
          <w:color w:val="000000" w:themeColor="text1"/>
          <w:szCs w:val="26"/>
        </w:rPr>
        <w:t>нашими</w:t>
      </w:r>
      <w:r w:rsidR="00F50723" w:rsidRPr="002C7BCF">
        <w:rPr>
          <w:color w:val="000000" w:themeColor="text1"/>
          <w:szCs w:val="26"/>
        </w:rPr>
        <w:t xml:space="preserve"> клиентами стали </w:t>
      </w:r>
      <w:r w:rsidR="00950409" w:rsidRPr="002C7BCF">
        <w:rPr>
          <w:color w:val="000000" w:themeColor="text1"/>
          <w:szCs w:val="26"/>
        </w:rPr>
        <w:t xml:space="preserve">НПФ </w:t>
      </w:r>
      <w:r w:rsidR="00AC75CB" w:rsidRPr="002C7BCF">
        <w:rPr>
          <w:color w:val="000000" w:themeColor="text1"/>
          <w:szCs w:val="26"/>
        </w:rPr>
        <w:t>«</w:t>
      </w:r>
      <w:r w:rsidR="00950409" w:rsidRPr="002C7BCF">
        <w:rPr>
          <w:color w:val="000000" w:themeColor="text1"/>
          <w:szCs w:val="26"/>
        </w:rPr>
        <w:t>ЛУКОЙЛ-ГАРАНТ</w:t>
      </w:r>
      <w:r w:rsidR="00AC75CB" w:rsidRPr="002C7BCF">
        <w:rPr>
          <w:color w:val="000000" w:themeColor="text1"/>
          <w:szCs w:val="26"/>
        </w:rPr>
        <w:t>»</w:t>
      </w:r>
      <w:r w:rsidR="00F50723" w:rsidRPr="002C7BCF">
        <w:rPr>
          <w:color w:val="000000" w:themeColor="text1"/>
          <w:szCs w:val="26"/>
        </w:rPr>
        <w:t xml:space="preserve">, </w:t>
      </w:r>
      <w:r w:rsidR="00950409" w:rsidRPr="002C7BCF">
        <w:rPr>
          <w:color w:val="000000" w:themeColor="text1"/>
          <w:szCs w:val="26"/>
        </w:rPr>
        <w:t xml:space="preserve">НПФ </w:t>
      </w:r>
      <w:r w:rsidR="00AC75CB" w:rsidRPr="002C7BCF">
        <w:rPr>
          <w:color w:val="000000" w:themeColor="text1"/>
          <w:szCs w:val="26"/>
        </w:rPr>
        <w:t>«</w:t>
      </w:r>
      <w:r w:rsidR="00950409" w:rsidRPr="002C7BCF">
        <w:rPr>
          <w:color w:val="000000" w:themeColor="text1"/>
          <w:szCs w:val="26"/>
        </w:rPr>
        <w:t>УГОЛЬ</w:t>
      </w:r>
      <w:r w:rsidR="00AC75CB" w:rsidRPr="002C7BCF">
        <w:rPr>
          <w:color w:val="000000" w:themeColor="text1"/>
          <w:szCs w:val="26"/>
        </w:rPr>
        <w:t>»</w:t>
      </w:r>
      <w:r w:rsidR="00F50723" w:rsidRPr="002C7BCF">
        <w:rPr>
          <w:color w:val="000000" w:themeColor="text1"/>
          <w:szCs w:val="26"/>
        </w:rPr>
        <w:t xml:space="preserve"> и</w:t>
      </w:r>
      <w:r w:rsidR="00950409" w:rsidRPr="002C7BCF">
        <w:rPr>
          <w:color w:val="000000" w:themeColor="text1"/>
          <w:szCs w:val="26"/>
        </w:rPr>
        <w:t xml:space="preserve"> НПФ </w:t>
      </w:r>
      <w:r w:rsidR="00AC75CB" w:rsidRPr="002C7BCF">
        <w:rPr>
          <w:color w:val="000000" w:themeColor="text1"/>
          <w:szCs w:val="26"/>
        </w:rPr>
        <w:t>«</w:t>
      </w:r>
      <w:r w:rsidR="00950409" w:rsidRPr="002C7BCF">
        <w:rPr>
          <w:color w:val="000000" w:themeColor="text1"/>
          <w:szCs w:val="26"/>
        </w:rPr>
        <w:t>Транснефть</w:t>
      </w:r>
      <w:r w:rsidR="00AC75CB" w:rsidRPr="002C7BCF">
        <w:rPr>
          <w:color w:val="000000" w:themeColor="text1"/>
          <w:szCs w:val="26"/>
        </w:rPr>
        <w:t>»</w:t>
      </w:r>
      <w:r w:rsidR="00950409" w:rsidRPr="002C7BCF">
        <w:rPr>
          <w:color w:val="000000" w:themeColor="text1"/>
          <w:szCs w:val="26"/>
        </w:rPr>
        <w:t>.</w:t>
      </w:r>
      <w:r w:rsidR="00F50723" w:rsidRPr="002C7BCF">
        <w:rPr>
          <w:color w:val="000000" w:themeColor="text1"/>
          <w:szCs w:val="26"/>
        </w:rPr>
        <w:t xml:space="preserve"> </w:t>
      </w:r>
      <w:r w:rsidR="00711161" w:rsidRPr="002C7BCF">
        <w:rPr>
          <w:color w:val="000000" w:themeColor="text1"/>
          <w:szCs w:val="26"/>
        </w:rPr>
        <w:t xml:space="preserve">Объем активов НПФ на обслуживании в СДК «Гарант» по состоянию на конец 2000 года составлял 1,27 </w:t>
      </w:r>
      <w:proofErr w:type="spellStart"/>
      <w:r w:rsidR="00711161" w:rsidRPr="002C7BCF">
        <w:rPr>
          <w:color w:val="000000" w:themeColor="text1"/>
          <w:szCs w:val="26"/>
        </w:rPr>
        <w:t>млрд</w:t>
      </w:r>
      <w:proofErr w:type="gramStart"/>
      <w:r w:rsidR="00711161" w:rsidRPr="002C7BCF">
        <w:rPr>
          <w:color w:val="000000" w:themeColor="text1"/>
          <w:szCs w:val="26"/>
        </w:rPr>
        <w:t>.р</w:t>
      </w:r>
      <w:proofErr w:type="gramEnd"/>
      <w:r w:rsidR="00711161" w:rsidRPr="002C7BCF">
        <w:rPr>
          <w:color w:val="000000" w:themeColor="text1"/>
          <w:szCs w:val="26"/>
        </w:rPr>
        <w:t>уб</w:t>
      </w:r>
      <w:proofErr w:type="spellEnd"/>
      <w:r w:rsidR="00711161" w:rsidRPr="002C7BCF">
        <w:rPr>
          <w:color w:val="000000" w:themeColor="text1"/>
          <w:szCs w:val="26"/>
        </w:rPr>
        <w:t xml:space="preserve">., суммарный объем рынка НПФ </w:t>
      </w:r>
      <w:r w:rsidR="00EB33E4" w:rsidRPr="002C7BCF">
        <w:rPr>
          <w:color w:val="000000" w:themeColor="text1"/>
          <w:szCs w:val="26"/>
        </w:rPr>
        <w:t>был на уровне</w:t>
      </w:r>
      <w:r w:rsidR="00711161" w:rsidRPr="002C7BCF">
        <w:rPr>
          <w:color w:val="000000" w:themeColor="text1"/>
          <w:szCs w:val="26"/>
        </w:rPr>
        <w:t xml:space="preserve"> 15,5 </w:t>
      </w:r>
      <w:proofErr w:type="spellStart"/>
      <w:r w:rsidR="00711161" w:rsidRPr="002C7BCF">
        <w:rPr>
          <w:color w:val="000000" w:themeColor="text1"/>
          <w:szCs w:val="26"/>
        </w:rPr>
        <w:t>млрд.руб</w:t>
      </w:r>
      <w:proofErr w:type="spellEnd"/>
      <w:r w:rsidR="00711161" w:rsidRPr="002C7BCF">
        <w:rPr>
          <w:color w:val="000000" w:themeColor="text1"/>
          <w:szCs w:val="26"/>
        </w:rPr>
        <w:t xml:space="preserve">. </w:t>
      </w:r>
      <w:r w:rsidR="00EB33E4" w:rsidRPr="002C7BCF">
        <w:rPr>
          <w:color w:val="000000" w:themeColor="text1"/>
          <w:szCs w:val="26"/>
        </w:rPr>
        <w:t>Почти с</w:t>
      </w:r>
      <w:r w:rsidR="006E011C" w:rsidRPr="002C7BCF">
        <w:rPr>
          <w:color w:val="000000" w:themeColor="text1"/>
          <w:szCs w:val="26"/>
        </w:rPr>
        <w:t xml:space="preserve">разу СДК «Гарант» </w:t>
      </w:r>
      <w:r w:rsidR="00EB33E4" w:rsidRPr="002C7BCF">
        <w:rPr>
          <w:color w:val="000000" w:themeColor="text1"/>
          <w:szCs w:val="26"/>
        </w:rPr>
        <w:t>вступил в члены</w:t>
      </w:r>
      <w:r w:rsidR="006E011C" w:rsidRPr="002C7BCF">
        <w:rPr>
          <w:color w:val="000000" w:themeColor="text1"/>
          <w:szCs w:val="26"/>
        </w:rPr>
        <w:t xml:space="preserve"> НАПФ</w:t>
      </w:r>
      <w:r w:rsidR="00CF0961" w:rsidRPr="002C7BCF">
        <w:rPr>
          <w:color w:val="000000" w:themeColor="text1"/>
          <w:szCs w:val="26"/>
        </w:rPr>
        <w:t xml:space="preserve"> и стал принимать активное участие в работе ассоциации</w:t>
      </w:r>
      <w:r w:rsidR="00711161" w:rsidRPr="002C7BCF">
        <w:rPr>
          <w:color w:val="000000" w:themeColor="text1"/>
          <w:szCs w:val="26"/>
        </w:rPr>
        <w:t xml:space="preserve">. </w:t>
      </w:r>
      <w:r w:rsidR="00CF0961" w:rsidRPr="002C7BCF">
        <w:rPr>
          <w:color w:val="000000" w:themeColor="text1"/>
          <w:szCs w:val="26"/>
        </w:rPr>
        <w:t xml:space="preserve">За личный вклад в развитие негосударственного пенсионного обеспечения и обязательного пенсионного страхования Почетным знаком НП «НАПФ» </w:t>
      </w:r>
      <w:r w:rsidR="009A40AD" w:rsidRPr="002C7BCF">
        <w:rPr>
          <w:color w:val="000000" w:themeColor="text1"/>
          <w:szCs w:val="26"/>
        </w:rPr>
        <w:t>награждены автор этой статьи и</w:t>
      </w:r>
      <w:r w:rsidR="00CF0961" w:rsidRPr="002C7BCF">
        <w:rPr>
          <w:color w:val="000000" w:themeColor="text1"/>
          <w:szCs w:val="26"/>
        </w:rPr>
        <w:t xml:space="preserve"> директор Департамента обслуживания накоплений и резервов Ольга Молдавская.</w:t>
      </w:r>
    </w:p>
    <w:p w14:paraId="35D5F8B2" w14:textId="477A4638" w:rsidR="0040240B" w:rsidRPr="002C7BCF" w:rsidRDefault="006E011C" w:rsidP="002C7BCF">
      <w:pPr>
        <w:pStyle w:val="2"/>
        <w:rPr>
          <w:color w:val="000000" w:themeColor="text1"/>
          <w:szCs w:val="26"/>
        </w:rPr>
      </w:pPr>
      <w:r w:rsidRPr="002C7BCF">
        <w:rPr>
          <w:color w:val="000000" w:themeColor="text1"/>
          <w:szCs w:val="26"/>
        </w:rPr>
        <w:t>Успешная и</w:t>
      </w:r>
      <w:r w:rsidR="00C838FB" w:rsidRPr="002C7BCF">
        <w:rPr>
          <w:color w:val="000000" w:themeColor="text1"/>
          <w:szCs w:val="26"/>
        </w:rPr>
        <w:t xml:space="preserve">стория взаимодействия </w:t>
      </w:r>
      <w:r w:rsidR="007141BB" w:rsidRPr="002C7BCF">
        <w:rPr>
          <w:color w:val="000000" w:themeColor="text1"/>
          <w:szCs w:val="26"/>
        </w:rPr>
        <w:t>негосударственных пенсионных фондов</w:t>
      </w:r>
      <w:r w:rsidR="00C838FB" w:rsidRPr="002C7BCF">
        <w:rPr>
          <w:color w:val="000000" w:themeColor="text1"/>
          <w:szCs w:val="26"/>
        </w:rPr>
        <w:t xml:space="preserve"> и специализированных депозитариев</w:t>
      </w:r>
      <w:r w:rsidRPr="002C7BCF">
        <w:rPr>
          <w:color w:val="000000" w:themeColor="text1"/>
          <w:szCs w:val="26"/>
        </w:rPr>
        <w:t xml:space="preserve"> сложилась не сразу. Только спустя несколько лет у фондов </w:t>
      </w:r>
      <w:r w:rsidR="00B84A82" w:rsidRPr="002C7BCF">
        <w:rPr>
          <w:color w:val="000000" w:themeColor="text1"/>
          <w:szCs w:val="26"/>
        </w:rPr>
        <w:t xml:space="preserve">появилось </w:t>
      </w:r>
      <w:r w:rsidR="0045384E" w:rsidRPr="002C7BCF">
        <w:rPr>
          <w:color w:val="000000" w:themeColor="text1"/>
          <w:szCs w:val="26"/>
        </w:rPr>
        <w:t>понимание необходимости</w:t>
      </w:r>
      <w:r w:rsidRPr="002C7BCF">
        <w:rPr>
          <w:color w:val="000000" w:themeColor="text1"/>
          <w:szCs w:val="26"/>
        </w:rPr>
        <w:t xml:space="preserve"> и полезности</w:t>
      </w:r>
      <w:r w:rsidR="0045384E" w:rsidRPr="002C7BCF">
        <w:rPr>
          <w:color w:val="000000" w:themeColor="text1"/>
          <w:szCs w:val="26"/>
        </w:rPr>
        <w:t xml:space="preserve"> услуг спец</w:t>
      </w:r>
      <w:r w:rsidRPr="002C7BCF">
        <w:rPr>
          <w:color w:val="000000" w:themeColor="text1"/>
          <w:szCs w:val="26"/>
        </w:rPr>
        <w:t>иализированного депозитария</w:t>
      </w:r>
      <w:r w:rsidR="0045384E" w:rsidRPr="002C7BCF">
        <w:rPr>
          <w:color w:val="000000" w:themeColor="text1"/>
          <w:szCs w:val="26"/>
        </w:rPr>
        <w:t>.</w:t>
      </w:r>
      <w:r w:rsidR="00A336B6" w:rsidRPr="002C7BCF">
        <w:rPr>
          <w:color w:val="000000" w:themeColor="text1"/>
          <w:szCs w:val="26"/>
        </w:rPr>
        <w:t xml:space="preserve"> </w:t>
      </w:r>
      <w:r w:rsidR="00711161" w:rsidRPr="002C7BCF">
        <w:rPr>
          <w:color w:val="000000" w:themeColor="text1"/>
          <w:szCs w:val="26"/>
        </w:rPr>
        <w:t>В самом начале фонды</w:t>
      </w:r>
      <w:r w:rsidR="007141BB" w:rsidRPr="002C7BCF">
        <w:rPr>
          <w:color w:val="000000" w:themeColor="text1"/>
          <w:szCs w:val="26"/>
        </w:rPr>
        <w:t xml:space="preserve">, в большей степени, увидели </w:t>
      </w:r>
      <w:r w:rsidR="00711161" w:rsidRPr="002C7BCF">
        <w:rPr>
          <w:color w:val="000000" w:themeColor="text1"/>
          <w:szCs w:val="26"/>
        </w:rPr>
        <w:t>для себя лишь новые дополнительные расходы на оплату услуг специализированного депозитария</w:t>
      </w:r>
      <w:r w:rsidR="007141BB" w:rsidRPr="002C7BCF">
        <w:rPr>
          <w:color w:val="000000" w:themeColor="text1"/>
          <w:szCs w:val="26"/>
        </w:rPr>
        <w:t xml:space="preserve"> и</w:t>
      </w:r>
      <w:r w:rsidR="00711161" w:rsidRPr="002C7BCF">
        <w:rPr>
          <w:color w:val="000000" w:themeColor="text1"/>
          <w:szCs w:val="26"/>
        </w:rPr>
        <w:t xml:space="preserve"> </w:t>
      </w:r>
      <w:r w:rsidR="007141BB" w:rsidRPr="002C7BCF">
        <w:rPr>
          <w:color w:val="000000" w:themeColor="text1"/>
          <w:szCs w:val="26"/>
        </w:rPr>
        <w:t xml:space="preserve">дополнительную операционную нагрузку по предоставлению информации и первичных документов. К функциям контроля со стороны специализированного депозитария было скептически осторожное отношение. </w:t>
      </w:r>
      <w:r w:rsidR="0040240B" w:rsidRPr="002C7BCF">
        <w:rPr>
          <w:color w:val="000000" w:themeColor="text1"/>
          <w:szCs w:val="26"/>
        </w:rPr>
        <w:t>Был пройден долгий</w:t>
      </w:r>
      <w:r w:rsidR="00711161" w:rsidRPr="002C7BCF">
        <w:rPr>
          <w:color w:val="000000" w:themeColor="text1"/>
          <w:szCs w:val="26"/>
        </w:rPr>
        <w:t>, тернистый</w:t>
      </w:r>
      <w:r w:rsidR="0040240B" w:rsidRPr="002C7BCF">
        <w:rPr>
          <w:color w:val="000000" w:themeColor="text1"/>
          <w:szCs w:val="26"/>
        </w:rPr>
        <w:t xml:space="preserve"> путь к доверию и осознанию важности </w:t>
      </w:r>
      <w:r w:rsidR="0040240B" w:rsidRPr="002C7BCF">
        <w:rPr>
          <w:color w:val="000000" w:themeColor="text1"/>
          <w:szCs w:val="26"/>
        </w:rPr>
        <w:lastRenderedPageBreak/>
        <w:t>сотрудничества, в результате которого спец</w:t>
      </w:r>
      <w:r w:rsidRPr="002C7BCF">
        <w:rPr>
          <w:color w:val="000000" w:themeColor="text1"/>
          <w:szCs w:val="26"/>
        </w:rPr>
        <w:t xml:space="preserve">иализированный </w:t>
      </w:r>
      <w:r w:rsidR="0040240B" w:rsidRPr="002C7BCF">
        <w:rPr>
          <w:color w:val="000000" w:themeColor="text1"/>
          <w:szCs w:val="26"/>
        </w:rPr>
        <w:t xml:space="preserve">депозитарий стал </w:t>
      </w:r>
      <w:r w:rsidRPr="002C7BCF">
        <w:rPr>
          <w:color w:val="000000" w:themeColor="text1"/>
          <w:szCs w:val="26"/>
        </w:rPr>
        <w:t>р</w:t>
      </w:r>
      <w:r w:rsidR="0040240B" w:rsidRPr="002C7BCF">
        <w:rPr>
          <w:color w:val="000000" w:themeColor="text1"/>
          <w:szCs w:val="26"/>
        </w:rPr>
        <w:t xml:space="preserve">еальным надежным </w:t>
      </w:r>
      <w:r w:rsidR="00946491" w:rsidRPr="002C7BCF">
        <w:rPr>
          <w:color w:val="000000" w:themeColor="text1"/>
          <w:szCs w:val="26"/>
        </w:rPr>
        <w:t xml:space="preserve">партнером и помощником в деятельности </w:t>
      </w:r>
      <w:r w:rsidR="00711161" w:rsidRPr="002C7BCF">
        <w:rPr>
          <w:color w:val="000000" w:themeColor="text1"/>
          <w:szCs w:val="26"/>
        </w:rPr>
        <w:t>негосударственного пенсионного фонда</w:t>
      </w:r>
      <w:r w:rsidR="0040240B" w:rsidRPr="002C7BCF">
        <w:rPr>
          <w:color w:val="000000" w:themeColor="text1"/>
          <w:szCs w:val="26"/>
        </w:rPr>
        <w:t>.</w:t>
      </w:r>
    </w:p>
    <w:p w14:paraId="4B41094B" w14:textId="149890FA" w:rsidR="006E011C" w:rsidRPr="002C7BCF" w:rsidRDefault="00571AE7" w:rsidP="002C7BCF">
      <w:pPr>
        <w:pStyle w:val="2"/>
        <w:rPr>
          <w:color w:val="000000" w:themeColor="text1"/>
          <w:szCs w:val="26"/>
        </w:rPr>
      </w:pPr>
      <w:r w:rsidRPr="002C7BCF">
        <w:rPr>
          <w:color w:val="000000" w:themeColor="text1"/>
          <w:szCs w:val="26"/>
        </w:rPr>
        <w:t xml:space="preserve">Одновременно с развитием негосударственных пенсионных фондов шло развитие и совершенствование системы государственного регулирования деятельности в области негосударственного пенсионного обеспечения, надзора и </w:t>
      </w:r>
      <w:proofErr w:type="gramStart"/>
      <w:r w:rsidRPr="002C7BCF">
        <w:rPr>
          <w:color w:val="000000" w:themeColor="text1"/>
          <w:szCs w:val="26"/>
        </w:rPr>
        <w:t>контроля за</w:t>
      </w:r>
      <w:proofErr w:type="gramEnd"/>
      <w:r w:rsidRPr="002C7BCF">
        <w:rPr>
          <w:color w:val="000000" w:themeColor="text1"/>
          <w:szCs w:val="26"/>
        </w:rPr>
        <w:t xml:space="preserve"> указанной деятельностью.</w:t>
      </w:r>
      <w:r w:rsidR="00731B02" w:rsidRPr="002C7BCF">
        <w:rPr>
          <w:color w:val="000000" w:themeColor="text1"/>
          <w:szCs w:val="26"/>
        </w:rPr>
        <w:t xml:space="preserve"> </w:t>
      </w:r>
      <w:r w:rsidR="00EB1B3B" w:rsidRPr="002C7BCF">
        <w:rPr>
          <w:color w:val="000000" w:themeColor="text1"/>
          <w:szCs w:val="26"/>
        </w:rPr>
        <w:t xml:space="preserve">Развитие </w:t>
      </w:r>
      <w:r w:rsidR="00731B02" w:rsidRPr="002C7BCF">
        <w:rPr>
          <w:color w:val="000000" w:themeColor="text1"/>
          <w:szCs w:val="26"/>
        </w:rPr>
        <w:t xml:space="preserve">обязательного пенсионного страхования </w:t>
      </w:r>
      <w:r w:rsidR="00EB1B3B" w:rsidRPr="002C7BCF">
        <w:rPr>
          <w:color w:val="000000" w:themeColor="text1"/>
          <w:szCs w:val="26"/>
        </w:rPr>
        <w:t>стало новым</w:t>
      </w:r>
      <w:r w:rsidR="00731B02" w:rsidRPr="002C7BCF">
        <w:rPr>
          <w:color w:val="000000" w:themeColor="text1"/>
          <w:szCs w:val="26"/>
        </w:rPr>
        <w:t>,</w:t>
      </w:r>
      <w:r w:rsidR="00EB1B3B" w:rsidRPr="002C7BCF">
        <w:rPr>
          <w:color w:val="000000" w:themeColor="text1"/>
          <w:szCs w:val="26"/>
        </w:rPr>
        <w:t xml:space="preserve"> </w:t>
      </w:r>
      <w:r w:rsidR="00731B02" w:rsidRPr="002C7BCF">
        <w:rPr>
          <w:color w:val="000000" w:themeColor="text1"/>
          <w:szCs w:val="26"/>
        </w:rPr>
        <w:t xml:space="preserve">важным </w:t>
      </w:r>
      <w:r w:rsidR="00EB1B3B" w:rsidRPr="002C7BCF">
        <w:rPr>
          <w:color w:val="000000" w:themeColor="text1"/>
          <w:szCs w:val="26"/>
        </w:rPr>
        <w:t xml:space="preserve">витком в развитии </w:t>
      </w:r>
      <w:r w:rsidR="00731B02" w:rsidRPr="002C7BCF">
        <w:rPr>
          <w:color w:val="000000" w:themeColor="text1"/>
          <w:szCs w:val="26"/>
        </w:rPr>
        <w:t xml:space="preserve">негосударственных пенсионных фондов </w:t>
      </w:r>
      <w:r w:rsidR="00876CFD" w:rsidRPr="002C7BCF">
        <w:rPr>
          <w:color w:val="000000" w:themeColor="text1"/>
          <w:szCs w:val="26"/>
        </w:rPr>
        <w:t xml:space="preserve">и </w:t>
      </w:r>
      <w:r w:rsidR="00731B02" w:rsidRPr="002C7BCF">
        <w:rPr>
          <w:color w:val="000000" w:themeColor="text1"/>
          <w:szCs w:val="26"/>
        </w:rPr>
        <w:t>специализированных депозитариев.</w:t>
      </w:r>
      <w:r w:rsidR="00EB1B3B" w:rsidRPr="002C7BCF">
        <w:rPr>
          <w:color w:val="000000" w:themeColor="text1"/>
          <w:szCs w:val="26"/>
        </w:rPr>
        <w:t xml:space="preserve"> </w:t>
      </w:r>
      <w:r w:rsidR="00731B02" w:rsidRPr="002C7BCF">
        <w:rPr>
          <w:color w:val="000000" w:themeColor="text1"/>
          <w:szCs w:val="26"/>
        </w:rPr>
        <w:t xml:space="preserve">С 2004 года фонды </w:t>
      </w:r>
      <w:r w:rsidR="006E011C" w:rsidRPr="002C7BCF">
        <w:rPr>
          <w:color w:val="000000" w:themeColor="text1"/>
          <w:szCs w:val="26"/>
        </w:rPr>
        <w:t>начинают работать с пенсионными накоплениями</w:t>
      </w:r>
      <w:r w:rsidR="00731B02" w:rsidRPr="002C7BCF">
        <w:rPr>
          <w:color w:val="000000" w:themeColor="text1"/>
          <w:szCs w:val="26"/>
        </w:rPr>
        <w:t>, хранение и учет которых также должен осуществлять специализированный депозитарий</w:t>
      </w:r>
      <w:r w:rsidR="006E011C" w:rsidRPr="002C7BCF">
        <w:rPr>
          <w:color w:val="000000" w:themeColor="text1"/>
          <w:szCs w:val="26"/>
        </w:rPr>
        <w:t xml:space="preserve">. </w:t>
      </w:r>
      <w:r w:rsidR="00731B02" w:rsidRPr="002C7BCF">
        <w:rPr>
          <w:color w:val="000000" w:themeColor="text1"/>
          <w:szCs w:val="26"/>
        </w:rPr>
        <w:t>При этом важной особенностью являет</w:t>
      </w:r>
      <w:r w:rsidR="00876CFD" w:rsidRPr="002C7BCF">
        <w:rPr>
          <w:color w:val="000000" w:themeColor="text1"/>
          <w:szCs w:val="26"/>
        </w:rPr>
        <w:t xml:space="preserve">ся то, что у фонда должен быть </w:t>
      </w:r>
      <w:r w:rsidR="00731B02" w:rsidRPr="002C7BCF">
        <w:rPr>
          <w:color w:val="000000" w:themeColor="text1"/>
          <w:szCs w:val="26"/>
        </w:rPr>
        <w:t>один и тот же  специализированный депозитарий и по пенсионным резервам, и по пенсионным накоплениям</w:t>
      </w:r>
      <w:r w:rsidR="006E011C" w:rsidRPr="002C7BCF">
        <w:rPr>
          <w:color w:val="000000" w:themeColor="text1"/>
          <w:szCs w:val="26"/>
        </w:rPr>
        <w:t>.</w:t>
      </w:r>
    </w:p>
    <w:p w14:paraId="1EBEF263" w14:textId="22433EE0" w:rsidR="001E4018" w:rsidRPr="002C7BCF" w:rsidRDefault="00412F82" w:rsidP="002C7BCF">
      <w:pPr>
        <w:pStyle w:val="2"/>
        <w:rPr>
          <w:szCs w:val="26"/>
        </w:rPr>
      </w:pPr>
      <w:r w:rsidRPr="002C7BCF">
        <w:rPr>
          <w:szCs w:val="26"/>
        </w:rPr>
        <w:t>О</w:t>
      </w:r>
      <w:r w:rsidR="001E4018" w:rsidRPr="002C7BCF">
        <w:rPr>
          <w:szCs w:val="26"/>
        </w:rPr>
        <w:t>бслужива</w:t>
      </w:r>
      <w:r w:rsidRPr="002C7BCF">
        <w:rPr>
          <w:szCs w:val="26"/>
        </w:rPr>
        <w:t>ние</w:t>
      </w:r>
      <w:r w:rsidR="001E4018" w:rsidRPr="002C7BCF">
        <w:rPr>
          <w:szCs w:val="26"/>
        </w:rPr>
        <w:t xml:space="preserve"> </w:t>
      </w:r>
      <w:r w:rsidRPr="002C7BCF">
        <w:rPr>
          <w:szCs w:val="26"/>
        </w:rPr>
        <w:t>пенсионных накоплений в СДК «Гарант» началось</w:t>
      </w:r>
      <w:r w:rsidR="001E4018" w:rsidRPr="002C7BCF">
        <w:rPr>
          <w:szCs w:val="26"/>
        </w:rPr>
        <w:t xml:space="preserve"> </w:t>
      </w:r>
      <w:r w:rsidR="00E02247" w:rsidRPr="002C7BCF">
        <w:rPr>
          <w:szCs w:val="26"/>
        </w:rPr>
        <w:t>с 0</w:t>
      </w:r>
      <w:r w:rsidR="001E4018" w:rsidRPr="002C7BCF">
        <w:rPr>
          <w:szCs w:val="26"/>
        </w:rPr>
        <w:t>1</w:t>
      </w:r>
      <w:r w:rsidR="0038315E" w:rsidRPr="002C7BCF">
        <w:rPr>
          <w:szCs w:val="26"/>
        </w:rPr>
        <w:t>.03.</w:t>
      </w:r>
      <w:r w:rsidR="0045774E" w:rsidRPr="002C7BCF">
        <w:rPr>
          <w:szCs w:val="26"/>
        </w:rPr>
        <w:t>2005 г</w:t>
      </w:r>
      <w:r w:rsidR="0038315E" w:rsidRPr="002C7BCF">
        <w:rPr>
          <w:szCs w:val="26"/>
        </w:rPr>
        <w:t>.</w:t>
      </w:r>
      <w:r w:rsidR="00876CFD" w:rsidRPr="002C7BCF">
        <w:rPr>
          <w:szCs w:val="26"/>
        </w:rPr>
        <w:t xml:space="preserve"> с заключения</w:t>
      </w:r>
      <w:r w:rsidR="0094020B" w:rsidRPr="002C7BCF">
        <w:rPr>
          <w:szCs w:val="26"/>
        </w:rPr>
        <w:t xml:space="preserve"> договор</w:t>
      </w:r>
      <w:r w:rsidR="00876CFD" w:rsidRPr="002C7BCF">
        <w:rPr>
          <w:szCs w:val="26"/>
        </w:rPr>
        <w:t>а</w:t>
      </w:r>
      <w:r w:rsidR="0094020B" w:rsidRPr="002C7BCF">
        <w:rPr>
          <w:szCs w:val="26"/>
        </w:rPr>
        <w:t xml:space="preserve"> с</w:t>
      </w:r>
      <w:r w:rsidR="00DD77CA" w:rsidRPr="002C7BCF">
        <w:rPr>
          <w:szCs w:val="26"/>
        </w:rPr>
        <w:t xml:space="preserve"> Национальным негосударственным пенсионным фондом</w:t>
      </w:r>
      <w:r w:rsidR="00E02247" w:rsidRPr="002C7BCF">
        <w:rPr>
          <w:szCs w:val="26"/>
        </w:rPr>
        <w:t xml:space="preserve"> и фондом «ЛУКОЙЛ-ГАРАНТ»</w:t>
      </w:r>
      <w:r w:rsidR="00A336B6" w:rsidRPr="002C7BCF">
        <w:rPr>
          <w:szCs w:val="26"/>
        </w:rPr>
        <w:t>.</w:t>
      </w:r>
      <w:r w:rsidR="00DD77CA" w:rsidRPr="002C7BCF">
        <w:rPr>
          <w:szCs w:val="26"/>
        </w:rPr>
        <w:t xml:space="preserve"> </w:t>
      </w:r>
    </w:p>
    <w:p w14:paraId="000D9D9C" w14:textId="35E5DB41" w:rsidR="00F40B46" w:rsidRPr="002C7BCF" w:rsidRDefault="00D23EE6" w:rsidP="002C7BCF">
      <w:pPr>
        <w:pStyle w:val="2"/>
        <w:rPr>
          <w:szCs w:val="26"/>
        </w:rPr>
      </w:pPr>
      <w:r w:rsidRPr="002C7BCF">
        <w:rPr>
          <w:szCs w:val="26"/>
        </w:rPr>
        <w:t>В настоящее время</w:t>
      </w:r>
      <w:r w:rsidR="00876CFD" w:rsidRPr="002C7BCF">
        <w:rPr>
          <w:szCs w:val="26"/>
        </w:rPr>
        <w:t xml:space="preserve"> основную</w:t>
      </w:r>
      <w:r w:rsidRPr="002C7BCF">
        <w:rPr>
          <w:szCs w:val="26"/>
        </w:rPr>
        <w:t xml:space="preserve"> часть рынка пенсионных активов </w:t>
      </w:r>
      <w:r w:rsidR="00876CFD" w:rsidRPr="002C7BCF">
        <w:rPr>
          <w:szCs w:val="26"/>
        </w:rPr>
        <w:t>обслуживает тройка специализированных депозитариев:</w:t>
      </w:r>
      <w:r w:rsidRPr="002C7BCF">
        <w:rPr>
          <w:szCs w:val="26"/>
        </w:rPr>
        <w:t xml:space="preserve"> </w:t>
      </w:r>
      <w:r w:rsidRPr="002C7BCF">
        <w:rPr>
          <w:color w:val="000000" w:themeColor="text1"/>
          <w:szCs w:val="26"/>
        </w:rPr>
        <w:t xml:space="preserve">ВТБ Спецдепозитарий, Инфинитум и СДК «Гарант» </w:t>
      </w:r>
      <w:r w:rsidR="004E2E58" w:rsidRPr="002C7BCF">
        <w:rPr>
          <w:color w:val="000000" w:themeColor="text1"/>
          <w:szCs w:val="26"/>
        </w:rPr>
        <w:t>Это по данным Банка России на 30.06.2016 г. 96% рынка пенсионных резервов и 62,4%  рынка пенсионных накоплений.</w:t>
      </w:r>
      <w:r w:rsidRPr="002C7BCF">
        <w:rPr>
          <w:color w:val="000000" w:themeColor="text1"/>
          <w:szCs w:val="26"/>
        </w:rPr>
        <w:t xml:space="preserve"> </w:t>
      </w:r>
      <w:r w:rsidR="007B29A5" w:rsidRPr="002C7BCF">
        <w:rPr>
          <w:color w:val="000000" w:themeColor="text1"/>
          <w:szCs w:val="26"/>
        </w:rPr>
        <w:t>С</w:t>
      </w:r>
      <w:r w:rsidR="009F70CE" w:rsidRPr="002C7BCF">
        <w:rPr>
          <w:color w:val="000000" w:themeColor="text1"/>
          <w:szCs w:val="26"/>
        </w:rPr>
        <w:t>овременный спец</w:t>
      </w:r>
      <w:r w:rsidR="00EB1B3B" w:rsidRPr="002C7BCF">
        <w:rPr>
          <w:color w:val="000000" w:themeColor="text1"/>
          <w:szCs w:val="26"/>
        </w:rPr>
        <w:t xml:space="preserve">иализированный </w:t>
      </w:r>
      <w:r w:rsidR="009F70CE" w:rsidRPr="002C7BCF">
        <w:rPr>
          <w:color w:val="000000" w:themeColor="text1"/>
          <w:szCs w:val="26"/>
        </w:rPr>
        <w:t xml:space="preserve">депозитарий </w:t>
      </w:r>
      <w:r w:rsidR="0094020B" w:rsidRPr="002C7BCF">
        <w:rPr>
          <w:color w:val="000000" w:themeColor="text1"/>
          <w:szCs w:val="26"/>
        </w:rPr>
        <w:t>устанавливает</w:t>
      </w:r>
      <w:r w:rsidR="009F70CE" w:rsidRPr="002C7BCF">
        <w:rPr>
          <w:color w:val="000000" w:themeColor="text1"/>
          <w:szCs w:val="26"/>
        </w:rPr>
        <w:t xml:space="preserve"> </w:t>
      </w:r>
      <w:r w:rsidR="00876CFD" w:rsidRPr="002C7BCF">
        <w:rPr>
          <w:color w:val="000000" w:themeColor="text1"/>
          <w:szCs w:val="26"/>
        </w:rPr>
        <w:t xml:space="preserve">тесные </w:t>
      </w:r>
      <w:r w:rsidR="0094020B" w:rsidRPr="002C7BCF">
        <w:rPr>
          <w:color w:val="000000" w:themeColor="text1"/>
          <w:szCs w:val="26"/>
        </w:rPr>
        <w:t xml:space="preserve">партнерские </w:t>
      </w:r>
      <w:r w:rsidR="009F70CE" w:rsidRPr="002C7BCF">
        <w:rPr>
          <w:color w:val="000000" w:themeColor="text1"/>
          <w:szCs w:val="26"/>
        </w:rPr>
        <w:t>отношения со своими клиентами</w:t>
      </w:r>
      <w:r w:rsidRPr="002C7BCF">
        <w:rPr>
          <w:color w:val="000000" w:themeColor="text1"/>
          <w:szCs w:val="26"/>
        </w:rPr>
        <w:t>, при этом строго соблюдая действующее законодательство</w:t>
      </w:r>
      <w:r w:rsidR="009F70CE" w:rsidRPr="002C7BCF">
        <w:rPr>
          <w:color w:val="000000" w:themeColor="text1"/>
          <w:szCs w:val="26"/>
        </w:rPr>
        <w:t xml:space="preserve">. </w:t>
      </w:r>
      <w:r w:rsidR="00876CFD" w:rsidRPr="002C7BCF">
        <w:rPr>
          <w:szCs w:val="26"/>
        </w:rPr>
        <w:t>Мы</w:t>
      </w:r>
      <w:r w:rsidR="00035FD4" w:rsidRPr="002C7BCF">
        <w:rPr>
          <w:szCs w:val="26"/>
        </w:rPr>
        <w:t>,</w:t>
      </w:r>
      <w:r w:rsidR="00876CFD" w:rsidRPr="002C7BCF">
        <w:rPr>
          <w:szCs w:val="26"/>
        </w:rPr>
        <w:t xml:space="preserve"> как спец</w:t>
      </w:r>
      <w:r w:rsidR="00103006" w:rsidRPr="002C7BCF">
        <w:rPr>
          <w:szCs w:val="26"/>
        </w:rPr>
        <w:t xml:space="preserve">иализированный </w:t>
      </w:r>
      <w:r w:rsidR="00876CFD" w:rsidRPr="002C7BCF">
        <w:rPr>
          <w:szCs w:val="26"/>
        </w:rPr>
        <w:t>деп</w:t>
      </w:r>
      <w:r w:rsidR="00103006" w:rsidRPr="002C7BCF">
        <w:rPr>
          <w:szCs w:val="26"/>
        </w:rPr>
        <w:t>озитарий</w:t>
      </w:r>
      <w:r w:rsidR="00035FD4" w:rsidRPr="002C7BCF">
        <w:rPr>
          <w:szCs w:val="26"/>
        </w:rPr>
        <w:t>,</w:t>
      </w:r>
      <w:r w:rsidR="00876CFD" w:rsidRPr="002C7BCF">
        <w:rPr>
          <w:szCs w:val="26"/>
        </w:rPr>
        <w:t xml:space="preserve"> понимаем, что к</w:t>
      </w:r>
      <w:r w:rsidR="0010571D" w:rsidRPr="002C7BCF">
        <w:rPr>
          <w:szCs w:val="26"/>
        </w:rPr>
        <w:t xml:space="preserve">онтроль должен быть действительно ежедневным и упреждающим, и </w:t>
      </w:r>
      <w:r w:rsidR="009F70CE" w:rsidRPr="002C7BCF">
        <w:rPr>
          <w:szCs w:val="26"/>
        </w:rPr>
        <w:t>стремиться надо не к фиксации нарушений, а к выявлению потенциальных опасностей их осуществления, ставящих под угрозу законность действий партнера. Спец</w:t>
      </w:r>
      <w:r w:rsidR="00EB1B3B" w:rsidRPr="002C7BCF">
        <w:rPr>
          <w:szCs w:val="26"/>
        </w:rPr>
        <w:t xml:space="preserve">иализированный </w:t>
      </w:r>
      <w:r w:rsidR="009F70CE" w:rsidRPr="002C7BCF">
        <w:rPr>
          <w:szCs w:val="26"/>
        </w:rPr>
        <w:t xml:space="preserve">депозитарий должен предупреждать партнера о таких опасностях и содействовать недопущению нарушения требований законодательства. Такой подход больше способствует стабильности </w:t>
      </w:r>
      <w:r w:rsidR="007B29A5" w:rsidRPr="002C7BCF">
        <w:rPr>
          <w:szCs w:val="26"/>
        </w:rPr>
        <w:t>взаимоотношений</w:t>
      </w:r>
      <w:r w:rsidR="009F70CE" w:rsidRPr="002C7BCF">
        <w:rPr>
          <w:szCs w:val="26"/>
        </w:rPr>
        <w:t>, нежели простая конст</w:t>
      </w:r>
      <w:r w:rsidR="001B2071" w:rsidRPr="002C7BCF">
        <w:rPr>
          <w:szCs w:val="26"/>
        </w:rPr>
        <w:t>а</w:t>
      </w:r>
      <w:r w:rsidR="009F70CE" w:rsidRPr="002C7BCF">
        <w:rPr>
          <w:szCs w:val="26"/>
        </w:rPr>
        <w:t xml:space="preserve">тация факта нарушения. </w:t>
      </w:r>
      <w:r w:rsidR="00035FD4" w:rsidRPr="002C7BCF">
        <w:rPr>
          <w:szCs w:val="26"/>
        </w:rPr>
        <w:t>И мы стараемся соблюдать этот принцип.</w:t>
      </w:r>
    </w:p>
    <w:p w14:paraId="17AED2DA" w14:textId="2543555E" w:rsidR="00A32B1F" w:rsidRPr="002C7BCF" w:rsidRDefault="00F40B46" w:rsidP="002C7BCF">
      <w:pPr>
        <w:pStyle w:val="2"/>
        <w:rPr>
          <w:szCs w:val="26"/>
        </w:rPr>
      </w:pPr>
      <w:r w:rsidRPr="002C7BCF">
        <w:rPr>
          <w:szCs w:val="26"/>
        </w:rPr>
        <w:t xml:space="preserve">Отношения, выстраиваемые </w:t>
      </w:r>
      <w:r w:rsidR="00D23EE6" w:rsidRPr="002C7BCF">
        <w:rPr>
          <w:szCs w:val="26"/>
        </w:rPr>
        <w:t xml:space="preserve">нашей </w:t>
      </w:r>
      <w:r w:rsidR="00817F19" w:rsidRPr="002C7BCF">
        <w:rPr>
          <w:szCs w:val="26"/>
        </w:rPr>
        <w:t xml:space="preserve">командой со своими клиентами </w:t>
      </w:r>
      <w:r w:rsidR="00D710EA" w:rsidRPr="002C7BCF">
        <w:rPr>
          <w:szCs w:val="26"/>
        </w:rPr>
        <w:t xml:space="preserve">- это </w:t>
      </w:r>
      <w:r w:rsidR="00817F19" w:rsidRPr="002C7BCF">
        <w:rPr>
          <w:szCs w:val="26"/>
        </w:rPr>
        <w:t>с</w:t>
      </w:r>
      <w:r w:rsidR="00D23EE6" w:rsidRPr="002C7BCF">
        <w:rPr>
          <w:szCs w:val="26"/>
        </w:rPr>
        <w:t>очетание п</w:t>
      </w:r>
      <w:r w:rsidR="00817F19" w:rsidRPr="002C7BCF">
        <w:rPr>
          <w:szCs w:val="26"/>
        </w:rPr>
        <w:t xml:space="preserve">рофессионализма, надежности и доверия, что позволяет </w:t>
      </w:r>
      <w:r w:rsidR="00D23EE6" w:rsidRPr="002C7BCF">
        <w:rPr>
          <w:szCs w:val="26"/>
        </w:rPr>
        <w:t xml:space="preserve">нам </w:t>
      </w:r>
      <w:r w:rsidR="00817F19" w:rsidRPr="002C7BCF">
        <w:rPr>
          <w:szCs w:val="26"/>
        </w:rPr>
        <w:t xml:space="preserve">успешно </w:t>
      </w:r>
      <w:r w:rsidR="00817F19" w:rsidRPr="002C7BCF">
        <w:rPr>
          <w:szCs w:val="26"/>
        </w:rPr>
        <w:lastRenderedPageBreak/>
        <w:t>предоставлять услуги действующим клиентам</w:t>
      </w:r>
      <w:r w:rsidR="00D23EE6" w:rsidRPr="002C7BCF">
        <w:rPr>
          <w:szCs w:val="26"/>
        </w:rPr>
        <w:t xml:space="preserve"> и привлекать на обслуживание новых клиентов. СДК «Гарант» </w:t>
      </w:r>
      <w:r w:rsidR="001F402A" w:rsidRPr="002C7BCF">
        <w:rPr>
          <w:szCs w:val="26"/>
        </w:rPr>
        <w:t>является одним из крупнейших специализированных депозитариев в стране и признанным профессионалом в своем деле</w:t>
      </w:r>
      <w:r w:rsidR="00F14D74" w:rsidRPr="002C7BCF">
        <w:rPr>
          <w:szCs w:val="26"/>
        </w:rPr>
        <w:t>.</w:t>
      </w:r>
      <w:r w:rsidR="001F402A" w:rsidRPr="002C7BCF">
        <w:rPr>
          <w:szCs w:val="26"/>
        </w:rPr>
        <w:t xml:space="preserve"> </w:t>
      </w:r>
      <w:r w:rsidR="00F14D74" w:rsidRPr="002C7BCF">
        <w:rPr>
          <w:szCs w:val="26"/>
        </w:rPr>
        <w:t xml:space="preserve">Лидирующие позиции подтверждаются стабильными победами и номинациями в </w:t>
      </w:r>
      <w:r w:rsidR="00F32905" w:rsidRPr="002C7BCF">
        <w:rPr>
          <w:szCs w:val="26"/>
        </w:rPr>
        <w:t>ежегодных к</w:t>
      </w:r>
      <w:r w:rsidR="00F14D74" w:rsidRPr="002C7BCF">
        <w:rPr>
          <w:szCs w:val="26"/>
        </w:rPr>
        <w:t>онкурс</w:t>
      </w:r>
      <w:r w:rsidR="00F32905" w:rsidRPr="002C7BCF">
        <w:rPr>
          <w:szCs w:val="26"/>
        </w:rPr>
        <w:t>ах</w:t>
      </w:r>
      <w:r w:rsidR="00F14D74" w:rsidRPr="002C7BCF">
        <w:rPr>
          <w:szCs w:val="26"/>
        </w:rPr>
        <w:t xml:space="preserve"> </w:t>
      </w:r>
      <w:r w:rsidR="001F402A" w:rsidRPr="002C7BCF">
        <w:rPr>
          <w:szCs w:val="26"/>
        </w:rPr>
        <w:t xml:space="preserve">профессионального мастерства </w:t>
      </w:r>
      <w:hyperlink r:id="rId10" w:history="1">
        <w:r w:rsidR="00AC75CB" w:rsidRPr="002C7BCF">
          <w:rPr>
            <w:szCs w:val="26"/>
          </w:rPr>
          <w:t>«</w:t>
        </w:r>
        <w:r w:rsidR="001F402A" w:rsidRPr="002C7BCF">
          <w:rPr>
            <w:szCs w:val="26"/>
          </w:rPr>
          <w:t>Инфраструктурный институт года</w:t>
        </w:r>
        <w:r w:rsidR="00AC75CB" w:rsidRPr="002C7BCF">
          <w:rPr>
            <w:szCs w:val="26"/>
          </w:rPr>
          <w:t>»</w:t>
        </w:r>
      </w:hyperlink>
      <w:r w:rsidR="001F402A" w:rsidRPr="002C7BCF">
        <w:rPr>
          <w:szCs w:val="26"/>
        </w:rPr>
        <w:t xml:space="preserve">, </w:t>
      </w:r>
      <w:hyperlink r:id="rId11" w:history="1">
        <w:r w:rsidR="00F32905" w:rsidRPr="002C7BCF">
          <w:rPr>
            <w:szCs w:val="26"/>
          </w:rPr>
          <w:t>с</w:t>
        </w:r>
        <w:r w:rsidR="001F402A" w:rsidRPr="002C7BCF">
          <w:rPr>
            <w:szCs w:val="26"/>
          </w:rPr>
          <w:t>ертификата</w:t>
        </w:r>
      </w:hyperlink>
      <w:r w:rsidR="00F14D74" w:rsidRPr="002C7BCF">
        <w:rPr>
          <w:szCs w:val="26"/>
        </w:rPr>
        <w:t>ми</w:t>
      </w:r>
      <w:r w:rsidR="001F402A" w:rsidRPr="002C7BCF">
        <w:rPr>
          <w:szCs w:val="26"/>
        </w:rPr>
        <w:t xml:space="preserve"> соответствия Стандартам деятельности специализированных депозитариев и ведения реестров владельцев паев ПИФ ПАРТАД, требованиям Руководства по электронному документообороту с использованием форматов электронного взаимодействия ПАРТАД</w:t>
      </w:r>
      <w:r w:rsidR="00F14D74" w:rsidRPr="002C7BCF">
        <w:rPr>
          <w:szCs w:val="26"/>
        </w:rPr>
        <w:t xml:space="preserve">, </w:t>
      </w:r>
      <w:r w:rsidR="001F402A" w:rsidRPr="002C7BCF">
        <w:rPr>
          <w:szCs w:val="26"/>
        </w:rPr>
        <w:t>требованиям Стандартов депозитарной деятельности ПАРТАД</w:t>
      </w:r>
      <w:r w:rsidR="002823CC" w:rsidRPr="002C7BCF">
        <w:rPr>
          <w:szCs w:val="26"/>
        </w:rPr>
        <w:t xml:space="preserve">, </w:t>
      </w:r>
      <w:r w:rsidR="001F402A" w:rsidRPr="002C7BCF">
        <w:rPr>
          <w:szCs w:val="26"/>
        </w:rPr>
        <w:t>международному стандарту ISO 9001:2008</w:t>
      </w:r>
      <w:r w:rsidR="002823CC" w:rsidRPr="002C7BCF">
        <w:rPr>
          <w:szCs w:val="26"/>
        </w:rPr>
        <w:t>.</w:t>
      </w:r>
      <w:r w:rsidR="00F32905" w:rsidRPr="002C7BCF">
        <w:rPr>
          <w:szCs w:val="26"/>
        </w:rPr>
        <w:t xml:space="preserve"> На протяжении многих лет </w:t>
      </w:r>
      <w:r w:rsidR="00AC75CB" w:rsidRPr="002C7BCF">
        <w:rPr>
          <w:color w:val="000000" w:themeColor="text1"/>
          <w:szCs w:val="26"/>
        </w:rPr>
        <w:t>«</w:t>
      </w:r>
      <w:r w:rsidR="00EB1B3B" w:rsidRPr="002C7BCF">
        <w:rPr>
          <w:color w:val="000000" w:themeColor="text1"/>
          <w:szCs w:val="26"/>
        </w:rPr>
        <w:t>СДК «Гарант</w:t>
      </w:r>
      <w:r w:rsidR="00AC75CB" w:rsidRPr="002C7BCF">
        <w:rPr>
          <w:color w:val="000000" w:themeColor="text1"/>
          <w:szCs w:val="26"/>
        </w:rPr>
        <w:t>»</w:t>
      </w:r>
      <w:r w:rsidR="00F32905" w:rsidRPr="002C7BCF">
        <w:rPr>
          <w:color w:val="000000" w:themeColor="text1"/>
          <w:szCs w:val="26"/>
        </w:rPr>
        <w:t xml:space="preserve"> </w:t>
      </w:r>
      <w:r w:rsidR="00EB1B3B" w:rsidRPr="002C7BCF">
        <w:rPr>
          <w:color w:val="000000" w:themeColor="text1"/>
          <w:szCs w:val="26"/>
        </w:rPr>
        <w:t>в</w:t>
      </w:r>
      <w:r w:rsidR="001F402A" w:rsidRPr="002C7BCF">
        <w:rPr>
          <w:color w:val="000000" w:themeColor="text1"/>
          <w:szCs w:val="26"/>
        </w:rPr>
        <w:t>ходит в группу ААА Национального рейтинга надежности депозитариев (высшая группа надежности)</w:t>
      </w:r>
      <w:r w:rsidR="00D710EA" w:rsidRPr="002C7BCF">
        <w:rPr>
          <w:color w:val="000000" w:themeColor="text1"/>
          <w:szCs w:val="26"/>
        </w:rPr>
        <w:t>.</w:t>
      </w:r>
      <w:r w:rsidR="00A32B1F" w:rsidRPr="002C7BCF">
        <w:rPr>
          <w:color w:val="FF0000"/>
          <w:szCs w:val="26"/>
        </w:rPr>
        <w:t xml:space="preserve"> </w:t>
      </w:r>
      <w:r w:rsidR="0066464E" w:rsidRPr="002C7BCF">
        <w:rPr>
          <w:szCs w:val="26"/>
        </w:rPr>
        <w:t xml:space="preserve">По данным на 30.06.2016 г. доля </w:t>
      </w:r>
      <w:r w:rsidR="00A32B1F" w:rsidRPr="002C7BCF">
        <w:rPr>
          <w:szCs w:val="26"/>
        </w:rPr>
        <w:t xml:space="preserve">СДК «Гарант» </w:t>
      </w:r>
      <w:r w:rsidR="0066464E" w:rsidRPr="002C7BCF">
        <w:rPr>
          <w:szCs w:val="26"/>
        </w:rPr>
        <w:t xml:space="preserve">по размеру пенсионных резервов на обслуживании составляет </w:t>
      </w:r>
      <w:r w:rsidR="00A32B1F" w:rsidRPr="002C7BCF">
        <w:rPr>
          <w:szCs w:val="26"/>
        </w:rPr>
        <w:t>17,8 % (193,3 млрд. руб.)</w:t>
      </w:r>
      <w:r w:rsidR="00C1778F" w:rsidRPr="002C7BCF">
        <w:rPr>
          <w:szCs w:val="26"/>
        </w:rPr>
        <w:t xml:space="preserve"> </w:t>
      </w:r>
      <w:r w:rsidR="0066464E" w:rsidRPr="002C7BCF">
        <w:rPr>
          <w:szCs w:val="26"/>
        </w:rPr>
        <w:t xml:space="preserve">и доля по пенсионным накоплениям - </w:t>
      </w:r>
      <w:r w:rsidR="00A32B1F" w:rsidRPr="002C7BCF">
        <w:rPr>
          <w:szCs w:val="26"/>
        </w:rPr>
        <w:t>37,</w:t>
      </w:r>
      <w:r w:rsidR="00C1778F" w:rsidRPr="002C7BCF">
        <w:rPr>
          <w:szCs w:val="26"/>
        </w:rPr>
        <w:t>3</w:t>
      </w:r>
      <w:r w:rsidR="00A32B1F" w:rsidRPr="002C7BCF">
        <w:rPr>
          <w:szCs w:val="26"/>
        </w:rPr>
        <w:t xml:space="preserve"> % (827,9 млрд. руб.).</w:t>
      </w:r>
    </w:p>
    <w:p w14:paraId="169FDD51" w14:textId="2989661E" w:rsidR="00DD6ACB" w:rsidRPr="002C7BCF" w:rsidRDefault="00E410C3" w:rsidP="002C7BCF">
      <w:pPr>
        <w:pStyle w:val="2"/>
        <w:rPr>
          <w:color w:val="000000" w:themeColor="text1"/>
          <w:szCs w:val="26"/>
        </w:rPr>
      </w:pPr>
      <w:r w:rsidRPr="002C7BCF">
        <w:rPr>
          <w:color w:val="000000" w:themeColor="text1"/>
          <w:szCs w:val="26"/>
        </w:rPr>
        <w:t>С приемом на обслуживание пенсионных накоплений объем работы спец</w:t>
      </w:r>
      <w:r w:rsidR="00F96D39" w:rsidRPr="002C7BCF">
        <w:rPr>
          <w:color w:val="000000" w:themeColor="text1"/>
          <w:szCs w:val="26"/>
        </w:rPr>
        <w:t xml:space="preserve">иализированного </w:t>
      </w:r>
      <w:r w:rsidRPr="002C7BCF">
        <w:rPr>
          <w:color w:val="000000" w:themeColor="text1"/>
          <w:szCs w:val="26"/>
        </w:rPr>
        <w:t>деп</w:t>
      </w:r>
      <w:r w:rsidR="00F96D39" w:rsidRPr="002C7BCF">
        <w:rPr>
          <w:color w:val="000000" w:themeColor="text1"/>
          <w:szCs w:val="26"/>
        </w:rPr>
        <w:t>озитария</w:t>
      </w:r>
      <w:r w:rsidRPr="002C7BCF">
        <w:rPr>
          <w:color w:val="000000" w:themeColor="text1"/>
          <w:szCs w:val="26"/>
        </w:rPr>
        <w:t xml:space="preserve"> многократно возрос. Появились функции выдачи предварительного согласия </w:t>
      </w:r>
      <w:r w:rsidR="00692D3B" w:rsidRPr="002C7BCF">
        <w:rPr>
          <w:color w:val="000000" w:themeColor="text1"/>
          <w:szCs w:val="26"/>
        </w:rPr>
        <w:t xml:space="preserve">управляющим компаниям </w:t>
      </w:r>
      <w:r w:rsidRPr="002C7BCF">
        <w:rPr>
          <w:color w:val="000000" w:themeColor="text1"/>
          <w:szCs w:val="26"/>
        </w:rPr>
        <w:t xml:space="preserve">на распоряжение имуществом, расчет </w:t>
      </w:r>
      <w:r w:rsidR="00840492" w:rsidRPr="002C7BCF">
        <w:rPr>
          <w:color w:val="000000" w:themeColor="text1"/>
          <w:szCs w:val="26"/>
        </w:rPr>
        <w:t>стоимости чистых активов (</w:t>
      </w:r>
      <w:r w:rsidRPr="002C7BCF">
        <w:rPr>
          <w:color w:val="000000" w:themeColor="text1"/>
          <w:szCs w:val="26"/>
        </w:rPr>
        <w:t>СЧА</w:t>
      </w:r>
      <w:r w:rsidR="00840492" w:rsidRPr="002C7BCF">
        <w:rPr>
          <w:color w:val="000000" w:themeColor="text1"/>
          <w:szCs w:val="26"/>
        </w:rPr>
        <w:t xml:space="preserve">) </w:t>
      </w:r>
      <w:r w:rsidRPr="002C7BCF">
        <w:rPr>
          <w:color w:val="000000" w:themeColor="text1"/>
          <w:szCs w:val="26"/>
        </w:rPr>
        <w:t xml:space="preserve">и </w:t>
      </w:r>
      <w:r w:rsidR="00840492" w:rsidRPr="002C7BCF">
        <w:rPr>
          <w:color w:val="000000" w:themeColor="text1"/>
          <w:szCs w:val="26"/>
        </w:rPr>
        <w:t>рыночной стоимости активов (</w:t>
      </w:r>
      <w:r w:rsidRPr="002C7BCF">
        <w:rPr>
          <w:color w:val="000000" w:themeColor="text1"/>
          <w:szCs w:val="26"/>
        </w:rPr>
        <w:t>РСА</w:t>
      </w:r>
      <w:r w:rsidR="00840492" w:rsidRPr="002C7BCF">
        <w:rPr>
          <w:color w:val="000000" w:themeColor="text1"/>
          <w:szCs w:val="26"/>
        </w:rPr>
        <w:t>)</w:t>
      </w:r>
      <w:r w:rsidRPr="002C7BCF">
        <w:rPr>
          <w:color w:val="000000" w:themeColor="text1"/>
          <w:szCs w:val="26"/>
        </w:rPr>
        <w:t>, сверка с управляющими компа</w:t>
      </w:r>
      <w:r w:rsidR="00F96D39" w:rsidRPr="002C7BCF">
        <w:rPr>
          <w:color w:val="000000" w:themeColor="text1"/>
          <w:szCs w:val="26"/>
        </w:rPr>
        <w:t>н</w:t>
      </w:r>
      <w:r w:rsidRPr="002C7BCF">
        <w:rPr>
          <w:color w:val="000000" w:themeColor="text1"/>
          <w:szCs w:val="26"/>
        </w:rPr>
        <w:t>иями.</w:t>
      </w:r>
      <w:r w:rsidR="00F96D39" w:rsidRPr="002C7BCF">
        <w:rPr>
          <w:color w:val="000000" w:themeColor="text1"/>
          <w:szCs w:val="26"/>
        </w:rPr>
        <w:t xml:space="preserve"> И этой связи в</w:t>
      </w:r>
      <w:r w:rsidR="00862972" w:rsidRPr="002C7BCF">
        <w:rPr>
          <w:color w:val="000000" w:themeColor="text1"/>
          <w:szCs w:val="26"/>
        </w:rPr>
        <w:t>ажной</w:t>
      </w:r>
      <w:r w:rsidR="009F70CE" w:rsidRPr="002C7BCF">
        <w:rPr>
          <w:color w:val="000000" w:themeColor="text1"/>
          <w:szCs w:val="26"/>
        </w:rPr>
        <w:t xml:space="preserve"> отличительной чертой современной организации работы </w:t>
      </w:r>
      <w:r w:rsidR="00617444" w:rsidRPr="002C7BCF">
        <w:rPr>
          <w:color w:val="000000" w:themeColor="text1"/>
          <w:szCs w:val="26"/>
        </w:rPr>
        <w:t>спец</w:t>
      </w:r>
      <w:r w:rsidR="00EB1B3B" w:rsidRPr="002C7BCF">
        <w:rPr>
          <w:color w:val="000000" w:themeColor="text1"/>
          <w:szCs w:val="26"/>
        </w:rPr>
        <w:t xml:space="preserve">иализированного </w:t>
      </w:r>
      <w:r w:rsidR="00617444" w:rsidRPr="002C7BCF">
        <w:rPr>
          <w:color w:val="000000" w:themeColor="text1"/>
          <w:szCs w:val="26"/>
        </w:rPr>
        <w:t xml:space="preserve">депозитария </w:t>
      </w:r>
      <w:r w:rsidR="00F96D39" w:rsidRPr="002C7BCF">
        <w:rPr>
          <w:color w:val="000000" w:themeColor="text1"/>
          <w:szCs w:val="26"/>
        </w:rPr>
        <w:t xml:space="preserve">становится </w:t>
      </w:r>
      <w:r w:rsidR="009F70CE" w:rsidRPr="002C7BCF">
        <w:rPr>
          <w:color w:val="000000" w:themeColor="text1"/>
          <w:szCs w:val="26"/>
        </w:rPr>
        <w:t xml:space="preserve">высокая технологичность </w:t>
      </w:r>
      <w:r w:rsidR="00F96D39" w:rsidRPr="002C7BCF">
        <w:rPr>
          <w:color w:val="000000" w:themeColor="text1"/>
          <w:szCs w:val="26"/>
        </w:rPr>
        <w:t>деятельности</w:t>
      </w:r>
      <w:r w:rsidR="009F70CE" w:rsidRPr="002C7BCF">
        <w:rPr>
          <w:color w:val="000000" w:themeColor="text1"/>
          <w:szCs w:val="26"/>
        </w:rPr>
        <w:t xml:space="preserve">, оптимальное построение бизнес-процессов, </w:t>
      </w:r>
      <w:r w:rsidR="00617444" w:rsidRPr="002C7BCF">
        <w:rPr>
          <w:color w:val="000000" w:themeColor="text1"/>
          <w:szCs w:val="26"/>
        </w:rPr>
        <w:t xml:space="preserve">направленные </w:t>
      </w:r>
      <w:r w:rsidR="009F70CE" w:rsidRPr="002C7BCF">
        <w:rPr>
          <w:color w:val="000000" w:themeColor="text1"/>
          <w:szCs w:val="26"/>
        </w:rPr>
        <w:t xml:space="preserve">на эффективность работы. </w:t>
      </w:r>
      <w:r w:rsidR="0094020B" w:rsidRPr="002C7BCF">
        <w:rPr>
          <w:color w:val="000000" w:themeColor="text1"/>
          <w:szCs w:val="26"/>
        </w:rPr>
        <w:t>М</w:t>
      </w:r>
      <w:r w:rsidR="009F70CE" w:rsidRPr="002C7BCF">
        <w:rPr>
          <w:color w:val="000000" w:themeColor="text1"/>
          <w:szCs w:val="26"/>
        </w:rPr>
        <w:t xml:space="preserve">аксимально высокий уровень автоматизации всех технологических процессов позволяет </w:t>
      </w:r>
      <w:r w:rsidR="00F96D39" w:rsidRPr="002C7BCF">
        <w:rPr>
          <w:color w:val="000000" w:themeColor="text1"/>
          <w:szCs w:val="26"/>
        </w:rPr>
        <w:t>повысить скорость ответов на запросы Клиентов, минимизировать возможные ошибки</w:t>
      </w:r>
      <w:r w:rsidR="009F70CE" w:rsidRPr="002C7BCF">
        <w:rPr>
          <w:color w:val="000000" w:themeColor="text1"/>
          <w:szCs w:val="26"/>
        </w:rPr>
        <w:t xml:space="preserve">, сократить издержки партнера </w:t>
      </w:r>
      <w:r w:rsidR="00862972" w:rsidRPr="002C7BCF">
        <w:rPr>
          <w:color w:val="000000" w:themeColor="text1"/>
          <w:szCs w:val="26"/>
        </w:rPr>
        <w:t>при</w:t>
      </w:r>
      <w:r w:rsidR="009F70CE" w:rsidRPr="002C7BCF">
        <w:rPr>
          <w:color w:val="000000" w:themeColor="text1"/>
          <w:szCs w:val="26"/>
        </w:rPr>
        <w:t xml:space="preserve"> взаимодействи</w:t>
      </w:r>
      <w:r w:rsidR="00862972" w:rsidRPr="002C7BCF">
        <w:rPr>
          <w:color w:val="000000" w:themeColor="text1"/>
          <w:szCs w:val="26"/>
        </w:rPr>
        <w:t>и</w:t>
      </w:r>
      <w:r w:rsidR="009F70CE" w:rsidRPr="002C7BCF">
        <w:rPr>
          <w:color w:val="000000" w:themeColor="text1"/>
          <w:szCs w:val="26"/>
        </w:rPr>
        <w:t xml:space="preserve"> со спец</w:t>
      </w:r>
      <w:r w:rsidR="00EB1B3B" w:rsidRPr="002C7BCF">
        <w:rPr>
          <w:color w:val="000000" w:themeColor="text1"/>
          <w:szCs w:val="26"/>
        </w:rPr>
        <w:t xml:space="preserve">иализированным </w:t>
      </w:r>
      <w:r w:rsidR="009F70CE" w:rsidRPr="002C7BCF">
        <w:rPr>
          <w:color w:val="000000" w:themeColor="text1"/>
          <w:szCs w:val="26"/>
        </w:rPr>
        <w:t xml:space="preserve">депозитарием и </w:t>
      </w:r>
      <w:r w:rsidR="00617444" w:rsidRPr="002C7BCF">
        <w:rPr>
          <w:color w:val="000000" w:themeColor="text1"/>
          <w:szCs w:val="26"/>
        </w:rPr>
        <w:t xml:space="preserve">оптимизировать </w:t>
      </w:r>
      <w:r w:rsidR="009F70CE" w:rsidRPr="002C7BCF">
        <w:rPr>
          <w:color w:val="000000" w:themeColor="text1"/>
          <w:szCs w:val="26"/>
        </w:rPr>
        <w:t>стоимость услуг. Чем более профессионально работает спец</w:t>
      </w:r>
      <w:r w:rsidR="00EB1B3B" w:rsidRPr="002C7BCF">
        <w:rPr>
          <w:color w:val="000000" w:themeColor="text1"/>
          <w:szCs w:val="26"/>
        </w:rPr>
        <w:t xml:space="preserve">иализированный </w:t>
      </w:r>
      <w:r w:rsidR="009F70CE" w:rsidRPr="002C7BCF">
        <w:rPr>
          <w:color w:val="000000" w:themeColor="text1"/>
          <w:szCs w:val="26"/>
        </w:rPr>
        <w:t>депозитарий со своими клиентами, тем выше его шансы на успех. Современный спец</w:t>
      </w:r>
      <w:r w:rsidR="00EB1B3B" w:rsidRPr="002C7BCF">
        <w:rPr>
          <w:color w:val="000000" w:themeColor="text1"/>
          <w:szCs w:val="26"/>
        </w:rPr>
        <w:t xml:space="preserve">иализированный </w:t>
      </w:r>
      <w:r w:rsidR="009F70CE" w:rsidRPr="002C7BCF">
        <w:rPr>
          <w:color w:val="000000" w:themeColor="text1"/>
          <w:szCs w:val="26"/>
        </w:rPr>
        <w:t xml:space="preserve">депозитарий должен быть внимателен к интересам партнера, оказывать ему </w:t>
      </w:r>
      <w:r w:rsidR="00EB1B3B" w:rsidRPr="002C7BCF">
        <w:rPr>
          <w:color w:val="000000" w:themeColor="text1"/>
          <w:szCs w:val="26"/>
        </w:rPr>
        <w:t>высоко</w:t>
      </w:r>
      <w:r w:rsidR="009F70CE" w:rsidRPr="002C7BCF">
        <w:rPr>
          <w:color w:val="000000" w:themeColor="text1"/>
          <w:szCs w:val="26"/>
        </w:rPr>
        <w:t>профессиональную поддержку, быть надежным, технологичным</w:t>
      </w:r>
      <w:r w:rsidR="00F96D39" w:rsidRPr="002C7BCF">
        <w:rPr>
          <w:color w:val="000000" w:themeColor="text1"/>
          <w:szCs w:val="26"/>
        </w:rPr>
        <w:t>, иметь высокий уровень автоматизации</w:t>
      </w:r>
      <w:r w:rsidR="009F70CE" w:rsidRPr="002C7BCF">
        <w:rPr>
          <w:color w:val="000000" w:themeColor="text1"/>
          <w:szCs w:val="26"/>
        </w:rPr>
        <w:t>.</w:t>
      </w:r>
      <w:r w:rsidR="00DF34D6" w:rsidRPr="002C7BCF">
        <w:rPr>
          <w:color w:val="000000" w:themeColor="text1"/>
          <w:szCs w:val="26"/>
        </w:rPr>
        <w:t xml:space="preserve"> </w:t>
      </w:r>
    </w:p>
    <w:p w14:paraId="6EDC7BE1" w14:textId="562F27CB" w:rsidR="00AE2366" w:rsidRPr="002C7BCF" w:rsidRDefault="003B65C2" w:rsidP="002C7BCF">
      <w:pPr>
        <w:pStyle w:val="2"/>
        <w:rPr>
          <w:color w:val="000000" w:themeColor="text1"/>
          <w:szCs w:val="26"/>
        </w:rPr>
      </w:pPr>
      <w:r w:rsidRPr="002C7BCF">
        <w:rPr>
          <w:color w:val="000000" w:themeColor="text1"/>
          <w:szCs w:val="26"/>
        </w:rPr>
        <w:lastRenderedPageBreak/>
        <w:t xml:space="preserve">Специализированные депозитарии, занимающие центральное место в инфраструктуре рынка коллективных инвестиций, являются основными «проводниками» технологий </w:t>
      </w:r>
      <w:r w:rsidR="00F96D39" w:rsidRPr="002C7BCF">
        <w:rPr>
          <w:color w:val="000000" w:themeColor="text1"/>
          <w:szCs w:val="26"/>
        </w:rPr>
        <w:t xml:space="preserve">электронного документооборота (ЭДО) </w:t>
      </w:r>
      <w:r w:rsidRPr="002C7BCF">
        <w:rPr>
          <w:color w:val="000000" w:themeColor="text1"/>
          <w:szCs w:val="26"/>
        </w:rPr>
        <w:t xml:space="preserve">на рынке коллективных инвестиций. </w:t>
      </w:r>
      <w:r w:rsidR="00881077" w:rsidRPr="002C7BCF">
        <w:rPr>
          <w:color w:val="000000" w:themeColor="text1"/>
          <w:szCs w:val="26"/>
        </w:rPr>
        <w:t xml:space="preserve">В настоящее время крупные специализированные депозитарии имеют свои корпоративные </w:t>
      </w:r>
      <w:r w:rsidR="00F96D39" w:rsidRPr="002C7BCF">
        <w:rPr>
          <w:color w:val="000000" w:themeColor="text1"/>
          <w:szCs w:val="26"/>
        </w:rPr>
        <w:t>системы электронного документооборота (</w:t>
      </w:r>
      <w:r w:rsidR="00881077" w:rsidRPr="002C7BCF">
        <w:rPr>
          <w:color w:val="000000" w:themeColor="text1"/>
          <w:szCs w:val="26"/>
        </w:rPr>
        <w:t>СЭД</w:t>
      </w:r>
      <w:r w:rsidR="00F96D39" w:rsidRPr="002C7BCF">
        <w:rPr>
          <w:color w:val="000000" w:themeColor="text1"/>
          <w:szCs w:val="26"/>
        </w:rPr>
        <w:t>)</w:t>
      </w:r>
      <w:r w:rsidR="00881077" w:rsidRPr="002C7BCF">
        <w:rPr>
          <w:color w:val="000000" w:themeColor="text1"/>
          <w:szCs w:val="26"/>
        </w:rPr>
        <w:t xml:space="preserve">. </w:t>
      </w:r>
      <w:r w:rsidR="00AE2366" w:rsidRPr="002C7BCF">
        <w:rPr>
          <w:color w:val="000000" w:themeColor="text1"/>
          <w:szCs w:val="26"/>
        </w:rPr>
        <w:t xml:space="preserve">Внедрение и использование технологий ЭДО - это важнейшая стратегическая задача в области развития информационных технологий ООО «СДК «Гарант». Использование СЭД в </w:t>
      </w:r>
      <w:r w:rsidR="00F96D39" w:rsidRPr="002C7BCF">
        <w:rPr>
          <w:color w:val="000000" w:themeColor="text1"/>
          <w:szCs w:val="26"/>
        </w:rPr>
        <w:t xml:space="preserve">цепочке систем специализированного депозитария при ведении </w:t>
      </w:r>
      <w:r w:rsidR="00AE2366" w:rsidRPr="002C7BCF">
        <w:rPr>
          <w:color w:val="000000" w:themeColor="text1"/>
          <w:szCs w:val="26"/>
        </w:rPr>
        <w:t xml:space="preserve">учета имущества </w:t>
      </w:r>
      <w:r w:rsidR="008B22FD" w:rsidRPr="002C7BCF">
        <w:rPr>
          <w:color w:val="000000" w:themeColor="text1"/>
          <w:szCs w:val="26"/>
        </w:rPr>
        <w:t xml:space="preserve">негосударственного пенсионного фонда </w:t>
      </w:r>
      <w:r w:rsidR="00AE2366" w:rsidRPr="002C7BCF">
        <w:rPr>
          <w:color w:val="000000" w:themeColor="text1"/>
          <w:szCs w:val="26"/>
        </w:rPr>
        <w:t xml:space="preserve">и </w:t>
      </w:r>
      <w:r w:rsidR="00F96D39" w:rsidRPr="002C7BCF">
        <w:rPr>
          <w:color w:val="000000" w:themeColor="text1"/>
          <w:szCs w:val="26"/>
        </w:rPr>
        <w:t xml:space="preserve">осуществлении </w:t>
      </w:r>
      <w:r w:rsidR="00AE2366" w:rsidRPr="002C7BCF">
        <w:rPr>
          <w:color w:val="000000" w:themeColor="text1"/>
          <w:szCs w:val="26"/>
        </w:rPr>
        <w:t>контрольных функций позволяет существенно снизить операционные затраты и повысить эффективность работы специализированного депозитария.</w:t>
      </w:r>
    </w:p>
    <w:p w14:paraId="0E3C4CC5" w14:textId="5F927423" w:rsidR="002137B5" w:rsidRPr="002C7BCF" w:rsidRDefault="002E4BB6" w:rsidP="002C7BCF">
      <w:pPr>
        <w:pStyle w:val="2"/>
        <w:rPr>
          <w:color w:val="000000" w:themeColor="text1"/>
          <w:szCs w:val="26"/>
        </w:rPr>
      </w:pPr>
      <w:r w:rsidRPr="002C7BCF">
        <w:rPr>
          <w:color w:val="000000" w:themeColor="text1"/>
          <w:szCs w:val="26"/>
        </w:rPr>
        <w:t xml:space="preserve">Технологии, используемые ООО </w:t>
      </w:r>
      <w:r w:rsidR="00AC75CB" w:rsidRPr="002C7BCF">
        <w:rPr>
          <w:color w:val="000000" w:themeColor="text1"/>
          <w:szCs w:val="26"/>
        </w:rPr>
        <w:t>«</w:t>
      </w:r>
      <w:r w:rsidRPr="002C7BCF">
        <w:rPr>
          <w:color w:val="000000" w:themeColor="text1"/>
          <w:szCs w:val="26"/>
        </w:rPr>
        <w:t xml:space="preserve">СДК </w:t>
      </w:r>
      <w:r w:rsidR="00AC75CB" w:rsidRPr="002C7BCF">
        <w:rPr>
          <w:color w:val="000000" w:themeColor="text1"/>
          <w:szCs w:val="26"/>
        </w:rPr>
        <w:t>«</w:t>
      </w:r>
      <w:r w:rsidRPr="002C7BCF">
        <w:rPr>
          <w:color w:val="000000" w:themeColor="text1"/>
          <w:szCs w:val="26"/>
        </w:rPr>
        <w:t>Гарант</w:t>
      </w:r>
      <w:r w:rsidR="00AC75CB" w:rsidRPr="002C7BCF">
        <w:rPr>
          <w:color w:val="000000" w:themeColor="text1"/>
          <w:szCs w:val="26"/>
        </w:rPr>
        <w:t>»</w:t>
      </w:r>
      <w:r w:rsidRPr="002C7BCF">
        <w:rPr>
          <w:color w:val="000000" w:themeColor="text1"/>
          <w:szCs w:val="26"/>
        </w:rPr>
        <w:t xml:space="preserve">, идут в ногу со временем и опережают потребности клиентов. Так, внедренная </w:t>
      </w:r>
      <w:r w:rsidR="00DA7CB0" w:rsidRPr="002C7BCF">
        <w:rPr>
          <w:color w:val="000000" w:themeColor="text1"/>
          <w:szCs w:val="26"/>
        </w:rPr>
        <w:t xml:space="preserve">в компании </w:t>
      </w:r>
      <w:r w:rsidRPr="002C7BCF">
        <w:rPr>
          <w:color w:val="000000" w:themeColor="text1"/>
          <w:szCs w:val="26"/>
        </w:rPr>
        <w:t xml:space="preserve">современная </w:t>
      </w:r>
      <w:r w:rsidR="000773BF" w:rsidRPr="002C7BCF">
        <w:rPr>
          <w:color w:val="000000" w:themeColor="text1"/>
          <w:szCs w:val="26"/>
        </w:rPr>
        <w:t xml:space="preserve">уникальная разработка - </w:t>
      </w:r>
      <w:r w:rsidR="00AC75CB" w:rsidRPr="002C7BCF">
        <w:rPr>
          <w:color w:val="000000" w:themeColor="text1"/>
          <w:szCs w:val="26"/>
        </w:rPr>
        <w:t>«</w:t>
      </w:r>
      <w:r w:rsidRPr="002C7BCF">
        <w:rPr>
          <w:color w:val="000000" w:themeColor="text1"/>
          <w:szCs w:val="26"/>
        </w:rPr>
        <w:t>Единая информационная система (ЕИС)</w:t>
      </w:r>
      <w:r w:rsidR="008454CF" w:rsidRPr="002C7BCF">
        <w:rPr>
          <w:color w:val="000000" w:themeColor="text1"/>
          <w:szCs w:val="26"/>
        </w:rPr>
        <w:t xml:space="preserve"> Гарант</w:t>
      </w:r>
      <w:r w:rsidR="00AC75CB" w:rsidRPr="002C7BCF">
        <w:rPr>
          <w:color w:val="000000" w:themeColor="text1"/>
          <w:szCs w:val="26"/>
        </w:rPr>
        <w:t>»</w:t>
      </w:r>
      <w:r w:rsidRPr="002C7BCF">
        <w:rPr>
          <w:color w:val="000000" w:themeColor="text1"/>
          <w:szCs w:val="26"/>
        </w:rPr>
        <w:t xml:space="preserve"> </w:t>
      </w:r>
      <w:r w:rsidR="000773BF" w:rsidRPr="002C7BCF">
        <w:rPr>
          <w:color w:val="000000" w:themeColor="text1"/>
          <w:szCs w:val="26"/>
        </w:rPr>
        <w:t xml:space="preserve">- </w:t>
      </w:r>
      <w:r w:rsidR="008454CF" w:rsidRPr="002C7BCF">
        <w:rPr>
          <w:color w:val="000000" w:themeColor="text1"/>
          <w:szCs w:val="26"/>
        </w:rPr>
        <w:t xml:space="preserve">является постоянно актуализируемой </w:t>
      </w:r>
      <w:r w:rsidR="009C5029" w:rsidRPr="002C7BCF">
        <w:rPr>
          <w:color w:val="000000" w:themeColor="text1"/>
          <w:szCs w:val="26"/>
        </w:rPr>
        <w:t>и развивающейся</w:t>
      </w:r>
      <w:r w:rsidR="003002A8" w:rsidRPr="002C7BCF">
        <w:rPr>
          <w:color w:val="000000" w:themeColor="text1"/>
          <w:szCs w:val="26"/>
        </w:rPr>
        <w:t xml:space="preserve"> </w:t>
      </w:r>
      <w:r w:rsidR="008454CF" w:rsidRPr="002C7BCF">
        <w:rPr>
          <w:color w:val="000000" w:themeColor="text1"/>
          <w:szCs w:val="26"/>
        </w:rPr>
        <w:t>в соответствии с изменениями требований законодательства и рынка информационной системой, предназначенной для комплексной автоматизации деятельност</w:t>
      </w:r>
      <w:proofErr w:type="gramStart"/>
      <w:r w:rsidR="008454CF" w:rsidRPr="002C7BCF">
        <w:rPr>
          <w:color w:val="000000" w:themeColor="text1"/>
          <w:szCs w:val="26"/>
        </w:rPr>
        <w:t>и ООО</w:t>
      </w:r>
      <w:proofErr w:type="gramEnd"/>
      <w:r w:rsidR="008454CF" w:rsidRPr="002C7BCF">
        <w:rPr>
          <w:color w:val="000000" w:themeColor="text1"/>
          <w:szCs w:val="26"/>
        </w:rPr>
        <w:t xml:space="preserve"> </w:t>
      </w:r>
      <w:r w:rsidR="00AC75CB" w:rsidRPr="002C7BCF">
        <w:rPr>
          <w:color w:val="000000" w:themeColor="text1"/>
          <w:szCs w:val="26"/>
        </w:rPr>
        <w:t>«</w:t>
      </w:r>
      <w:r w:rsidR="008454CF" w:rsidRPr="002C7BCF">
        <w:rPr>
          <w:color w:val="000000" w:themeColor="text1"/>
          <w:szCs w:val="26"/>
        </w:rPr>
        <w:t xml:space="preserve">СДК </w:t>
      </w:r>
      <w:r w:rsidR="00AC75CB" w:rsidRPr="002C7BCF">
        <w:rPr>
          <w:color w:val="000000" w:themeColor="text1"/>
          <w:szCs w:val="26"/>
        </w:rPr>
        <w:t>«</w:t>
      </w:r>
      <w:r w:rsidR="008454CF" w:rsidRPr="002C7BCF">
        <w:rPr>
          <w:color w:val="000000" w:themeColor="text1"/>
          <w:szCs w:val="26"/>
        </w:rPr>
        <w:t>Гарант</w:t>
      </w:r>
      <w:r w:rsidR="00AC75CB" w:rsidRPr="002C7BCF">
        <w:rPr>
          <w:color w:val="000000" w:themeColor="text1"/>
          <w:szCs w:val="26"/>
        </w:rPr>
        <w:t>»</w:t>
      </w:r>
      <w:r w:rsidR="004A4ED7" w:rsidRPr="002C7BCF">
        <w:rPr>
          <w:color w:val="000000" w:themeColor="text1"/>
          <w:szCs w:val="26"/>
        </w:rPr>
        <w:t xml:space="preserve">. ЕИС </w:t>
      </w:r>
      <w:r w:rsidR="0016267E" w:rsidRPr="002C7BCF">
        <w:rPr>
          <w:color w:val="000000" w:themeColor="text1"/>
          <w:szCs w:val="26"/>
        </w:rPr>
        <w:t xml:space="preserve">построена на единой платформе (ядре) и </w:t>
      </w:r>
      <w:r w:rsidR="004A4ED7" w:rsidRPr="002C7BCF">
        <w:rPr>
          <w:color w:val="000000" w:themeColor="text1"/>
          <w:szCs w:val="26"/>
        </w:rPr>
        <w:t xml:space="preserve">формирует единое информационное поле </w:t>
      </w:r>
      <w:r w:rsidR="003002A8" w:rsidRPr="002C7BCF">
        <w:rPr>
          <w:color w:val="000000" w:themeColor="text1"/>
          <w:szCs w:val="26"/>
        </w:rPr>
        <w:t xml:space="preserve">для </w:t>
      </w:r>
      <w:r w:rsidR="004A4ED7" w:rsidRPr="002C7BCF">
        <w:rPr>
          <w:color w:val="000000" w:themeColor="text1"/>
          <w:szCs w:val="26"/>
        </w:rPr>
        <w:t>надежно</w:t>
      </w:r>
      <w:r w:rsidR="003002A8" w:rsidRPr="002C7BCF">
        <w:rPr>
          <w:color w:val="000000" w:themeColor="text1"/>
          <w:szCs w:val="26"/>
        </w:rPr>
        <w:t>го</w:t>
      </w:r>
      <w:r w:rsidR="004A4ED7" w:rsidRPr="002C7BCF">
        <w:rPr>
          <w:color w:val="000000" w:themeColor="text1"/>
          <w:szCs w:val="26"/>
        </w:rPr>
        <w:t xml:space="preserve"> и быстро</w:t>
      </w:r>
      <w:r w:rsidR="003002A8" w:rsidRPr="002C7BCF">
        <w:rPr>
          <w:color w:val="000000" w:themeColor="text1"/>
          <w:szCs w:val="26"/>
        </w:rPr>
        <w:t>го</w:t>
      </w:r>
      <w:r w:rsidR="004A4ED7" w:rsidRPr="002C7BCF">
        <w:rPr>
          <w:color w:val="000000" w:themeColor="text1"/>
          <w:szCs w:val="26"/>
        </w:rPr>
        <w:t xml:space="preserve"> </w:t>
      </w:r>
      <w:r w:rsidR="003002A8" w:rsidRPr="002C7BCF">
        <w:rPr>
          <w:color w:val="000000" w:themeColor="text1"/>
          <w:szCs w:val="26"/>
        </w:rPr>
        <w:t xml:space="preserve">взаимодействия </w:t>
      </w:r>
      <w:r w:rsidR="004A4ED7" w:rsidRPr="002C7BCF">
        <w:rPr>
          <w:color w:val="000000" w:themeColor="text1"/>
          <w:szCs w:val="26"/>
        </w:rPr>
        <w:t xml:space="preserve">с партнерами по бизнесу, цель </w:t>
      </w:r>
      <w:r w:rsidR="0016267E" w:rsidRPr="002C7BCF">
        <w:rPr>
          <w:color w:val="000000" w:themeColor="text1"/>
          <w:szCs w:val="26"/>
        </w:rPr>
        <w:t xml:space="preserve">которого </w:t>
      </w:r>
      <w:r w:rsidR="004A4ED7" w:rsidRPr="002C7BCF">
        <w:rPr>
          <w:color w:val="000000" w:themeColor="text1"/>
          <w:szCs w:val="26"/>
        </w:rPr>
        <w:t>– увеличение скорости обработки данных и принятия решения</w:t>
      </w:r>
      <w:r w:rsidR="005C582A" w:rsidRPr="002C7BCF">
        <w:rPr>
          <w:color w:val="000000" w:themeColor="text1"/>
          <w:szCs w:val="26"/>
        </w:rPr>
        <w:t>,</w:t>
      </w:r>
      <w:r w:rsidR="004A4ED7" w:rsidRPr="002C7BCF">
        <w:rPr>
          <w:color w:val="000000" w:themeColor="text1"/>
          <w:szCs w:val="26"/>
        </w:rPr>
        <w:t xml:space="preserve"> минимизация ошибок</w:t>
      </w:r>
      <w:r w:rsidR="0016267E" w:rsidRPr="002C7BCF">
        <w:rPr>
          <w:color w:val="000000" w:themeColor="text1"/>
          <w:szCs w:val="26"/>
        </w:rPr>
        <w:t>.</w:t>
      </w:r>
      <w:r w:rsidR="004A4ED7" w:rsidRPr="002C7BCF">
        <w:rPr>
          <w:color w:val="000000" w:themeColor="text1"/>
          <w:szCs w:val="26"/>
        </w:rPr>
        <w:t xml:space="preserve"> </w:t>
      </w:r>
      <w:r w:rsidR="00644E8D" w:rsidRPr="002C7BCF">
        <w:rPr>
          <w:color w:val="000000" w:themeColor="text1"/>
          <w:szCs w:val="26"/>
        </w:rPr>
        <w:t xml:space="preserve">Данный </w:t>
      </w:r>
      <w:r w:rsidR="0016267E" w:rsidRPr="002C7BCF">
        <w:rPr>
          <w:color w:val="000000" w:themeColor="text1"/>
          <w:szCs w:val="26"/>
        </w:rPr>
        <w:t xml:space="preserve">подход </w:t>
      </w:r>
      <w:r w:rsidR="004A4ED7" w:rsidRPr="002C7BCF">
        <w:rPr>
          <w:color w:val="000000" w:themeColor="text1"/>
          <w:szCs w:val="26"/>
        </w:rPr>
        <w:t>обеспечивает преимущество перед конкурентами и привлекательность для потенциальных клиентов.</w:t>
      </w:r>
      <w:r w:rsidR="008454CF" w:rsidRPr="002C7BCF">
        <w:rPr>
          <w:color w:val="000000" w:themeColor="text1"/>
          <w:szCs w:val="26"/>
        </w:rPr>
        <w:t xml:space="preserve"> </w:t>
      </w:r>
      <w:r w:rsidR="004A4ED7" w:rsidRPr="002C7BCF">
        <w:rPr>
          <w:color w:val="000000" w:themeColor="text1"/>
          <w:szCs w:val="26"/>
        </w:rPr>
        <w:t xml:space="preserve">Система </w:t>
      </w:r>
      <w:r w:rsidR="008454CF" w:rsidRPr="002C7BCF">
        <w:rPr>
          <w:color w:val="000000" w:themeColor="text1"/>
          <w:szCs w:val="26"/>
        </w:rPr>
        <w:t>позволяет осуществлять оперативное формирование достоверной отчетности, предоставлять развернутую аналитику клиентам</w:t>
      </w:r>
      <w:r w:rsidR="0016267E" w:rsidRPr="002C7BCF">
        <w:rPr>
          <w:color w:val="000000" w:themeColor="text1"/>
          <w:szCs w:val="26"/>
        </w:rPr>
        <w:t>, создавать отчеты по индивидуальным запросам клиентов, что обеспечивает</w:t>
      </w:r>
      <w:r w:rsidR="00F05E97" w:rsidRPr="002C7BCF">
        <w:rPr>
          <w:color w:val="000000" w:themeColor="text1"/>
          <w:szCs w:val="26"/>
        </w:rPr>
        <w:t xml:space="preserve"> в полной мере клиентоориентированный</w:t>
      </w:r>
      <w:r w:rsidR="0066464E" w:rsidRPr="002C7BCF">
        <w:rPr>
          <w:color w:val="000000" w:themeColor="text1"/>
          <w:szCs w:val="26"/>
        </w:rPr>
        <w:t>,</w:t>
      </w:r>
      <w:r w:rsidR="00F05E97" w:rsidRPr="002C7BCF">
        <w:rPr>
          <w:color w:val="000000" w:themeColor="text1"/>
          <w:szCs w:val="26"/>
        </w:rPr>
        <w:t xml:space="preserve"> </w:t>
      </w:r>
      <w:r w:rsidR="00023CE1" w:rsidRPr="002C7BCF">
        <w:rPr>
          <w:color w:val="000000" w:themeColor="text1"/>
          <w:szCs w:val="26"/>
        </w:rPr>
        <w:t xml:space="preserve">современный </w:t>
      </w:r>
      <w:r w:rsidR="00F05E97" w:rsidRPr="002C7BCF">
        <w:rPr>
          <w:color w:val="000000" w:themeColor="text1"/>
          <w:szCs w:val="26"/>
        </w:rPr>
        <w:t xml:space="preserve">сервис </w:t>
      </w:r>
      <w:r w:rsidR="0016267E" w:rsidRPr="002C7BCF">
        <w:rPr>
          <w:color w:val="000000" w:themeColor="text1"/>
          <w:szCs w:val="26"/>
        </w:rPr>
        <w:t>нашим партнерам</w:t>
      </w:r>
      <w:r w:rsidR="008454CF" w:rsidRPr="002C7BCF">
        <w:rPr>
          <w:color w:val="000000" w:themeColor="text1"/>
          <w:szCs w:val="26"/>
        </w:rPr>
        <w:t>.</w:t>
      </w:r>
      <w:r w:rsidR="00772D3E" w:rsidRPr="002C7BCF">
        <w:rPr>
          <w:color w:val="000000" w:themeColor="text1"/>
          <w:szCs w:val="26"/>
        </w:rPr>
        <w:t xml:space="preserve"> </w:t>
      </w:r>
      <w:r w:rsidR="00374E79" w:rsidRPr="002C7BCF">
        <w:rPr>
          <w:color w:val="000000" w:themeColor="text1"/>
          <w:szCs w:val="26"/>
        </w:rPr>
        <w:t xml:space="preserve">Помимо информационных технологий становится важно развивать технологии различного консалтинга: </w:t>
      </w:r>
      <w:proofErr w:type="gramStart"/>
      <w:r w:rsidR="00374E79" w:rsidRPr="002C7BCF">
        <w:rPr>
          <w:color w:val="000000" w:themeColor="text1"/>
          <w:szCs w:val="26"/>
        </w:rPr>
        <w:t>юридический</w:t>
      </w:r>
      <w:proofErr w:type="gramEnd"/>
      <w:r w:rsidR="00374E79" w:rsidRPr="002C7BCF">
        <w:rPr>
          <w:color w:val="000000" w:themeColor="text1"/>
          <w:szCs w:val="26"/>
        </w:rPr>
        <w:t xml:space="preserve">, финансовый. </w:t>
      </w:r>
      <w:proofErr w:type="gramStart"/>
      <w:r w:rsidR="00374E79" w:rsidRPr="002C7BCF">
        <w:rPr>
          <w:color w:val="000000" w:themeColor="text1"/>
          <w:szCs w:val="26"/>
        </w:rPr>
        <w:t>Заметную востребованность услуг</w:t>
      </w:r>
      <w:r w:rsidR="009600C4" w:rsidRPr="002C7BCF">
        <w:rPr>
          <w:color w:val="000000" w:themeColor="text1"/>
          <w:szCs w:val="26"/>
        </w:rPr>
        <w:t>и</w:t>
      </w:r>
      <w:r w:rsidR="00374E79" w:rsidRPr="002C7BCF">
        <w:rPr>
          <w:color w:val="000000" w:themeColor="text1"/>
          <w:szCs w:val="26"/>
        </w:rPr>
        <w:t xml:space="preserve"> специализиро</w:t>
      </w:r>
      <w:r w:rsidR="009600C4" w:rsidRPr="002C7BCF">
        <w:rPr>
          <w:color w:val="000000" w:themeColor="text1"/>
          <w:szCs w:val="26"/>
        </w:rPr>
        <w:t>в</w:t>
      </w:r>
      <w:r w:rsidR="00374E79" w:rsidRPr="002C7BCF">
        <w:rPr>
          <w:color w:val="000000" w:themeColor="text1"/>
          <w:szCs w:val="26"/>
        </w:rPr>
        <w:t>анного депозитари</w:t>
      </w:r>
      <w:r w:rsidR="00340E27" w:rsidRPr="002C7BCF">
        <w:rPr>
          <w:color w:val="000000" w:themeColor="text1"/>
          <w:szCs w:val="26"/>
        </w:rPr>
        <w:t xml:space="preserve">я в части консалтинга получили </w:t>
      </w:r>
      <w:r w:rsidR="00374E79" w:rsidRPr="002C7BCF">
        <w:rPr>
          <w:color w:val="000000" w:themeColor="text1"/>
          <w:szCs w:val="26"/>
        </w:rPr>
        <w:t>с</w:t>
      </w:r>
      <w:r w:rsidR="00340E27" w:rsidRPr="002C7BCF">
        <w:rPr>
          <w:color w:val="000000" w:themeColor="text1"/>
          <w:szCs w:val="26"/>
        </w:rPr>
        <w:t>о</w:t>
      </w:r>
      <w:r w:rsidR="00374E79" w:rsidRPr="002C7BCF">
        <w:rPr>
          <w:color w:val="000000" w:themeColor="text1"/>
          <w:szCs w:val="26"/>
        </w:rPr>
        <w:t xml:space="preserve"> вступлением </w:t>
      </w:r>
      <w:r w:rsidR="001C5719" w:rsidRPr="002C7BCF">
        <w:rPr>
          <w:color w:val="000000" w:themeColor="text1"/>
          <w:szCs w:val="26"/>
        </w:rPr>
        <w:t xml:space="preserve"> в силу с </w:t>
      </w:r>
      <w:r w:rsidR="005579CA" w:rsidRPr="002C7BCF">
        <w:rPr>
          <w:color w:val="000000" w:themeColor="text1"/>
          <w:szCs w:val="26"/>
        </w:rPr>
        <w:t>0</w:t>
      </w:r>
      <w:r w:rsidR="001C5719" w:rsidRPr="002C7BCF">
        <w:rPr>
          <w:color w:val="000000" w:themeColor="text1"/>
          <w:szCs w:val="26"/>
        </w:rPr>
        <w:t>1</w:t>
      </w:r>
      <w:r w:rsidR="0038315E" w:rsidRPr="002C7BCF">
        <w:rPr>
          <w:color w:val="000000" w:themeColor="text1"/>
          <w:szCs w:val="26"/>
        </w:rPr>
        <w:t>.01.</w:t>
      </w:r>
      <w:r w:rsidR="001C5719" w:rsidRPr="002C7BCF">
        <w:rPr>
          <w:color w:val="000000" w:themeColor="text1"/>
          <w:szCs w:val="26"/>
        </w:rPr>
        <w:t>2014 г</w:t>
      </w:r>
      <w:r w:rsidR="0038315E" w:rsidRPr="002C7BCF">
        <w:rPr>
          <w:color w:val="000000" w:themeColor="text1"/>
          <w:szCs w:val="26"/>
        </w:rPr>
        <w:t>.</w:t>
      </w:r>
      <w:r w:rsidR="001C5719" w:rsidRPr="002C7BCF">
        <w:rPr>
          <w:color w:val="000000" w:themeColor="text1"/>
          <w:szCs w:val="26"/>
        </w:rPr>
        <w:t xml:space="preserve"> </w:t>
      </w:r>
      <w:r w:rsidR="00374E79" w:rsidRPr="002C7BCF">
        <w:rPr>
          <w:color w:val="000000" w:themeColor="text1"/>
          <w:szCs w:val="26"/>
        </w:rPr>
        <w:t xml:space="preserve">изменений, предусматривающих необходимость акционирования </w:t>
      </w:r>
      <w:r w:rsidR="0094144C" w:rsidRPr="002C7BCF">
        <w:rPr>
          <w:color w:val="000000" w:themeColor="text1"/>
          <w:szCs w:val="26"/>
        </w:rPr>
        <w:t>негосударственных пенсионных фондов</w:t>
      </w:r>
      <w:r w:rsidR="00374E79" w:rsidRPr="002C7BCF">
        <w:rPr>
          <w:color w:val="000000" w:themeColor="text1"/>
          <w:szCs w:val="26"/>
        </w:rPr>
        <w:t xml:space="preserve"> (Федеральный </w:t>
      </w:r>
      <w:r w:rsidR="001C5719" w:rsidRPr="002C7BCF">
        <w:rPr>
          <w:color w:val="000000" w:themeColor="text1"/>
          <w:szCs w:val="26"/>
        </w:rPr>
        <w:t>закон от 28</w:t>
      </w:r>
      <w:r w:rsidR="00772D3E" w:rsidRPr="002C7BCF">
        <w:rPr>
          <w:color w:val="000000" w:themeColor="text1"/>
          <w:szCs w:val="26"/>
        </w:rPr>
        <w:t>.12.</w:t>
      </w:r>
      <w:r w:rsidR="001C5719" w:rsidRPr="002C7BCF">
        <w:rPr>
          <w:color w:val="000000" w:themeColor="text1"/>
          <w:szCs w:val="26"/>
        </w:rPr>
        <w:t>2013</w:t>
      </w:r>
      <w:r w:rsidR="004D2C04" w:rsidRPr="002C7BCF">
        <w:rPr>
          <w:color w:val="000000" w:themeColor="text1"/>
          <w:szCs w:val="26"/>
        </w:rPr>
        <w:t> г.</w:t>
      </w:r>
      <w:r w:rsidR="001C5719" w:rsidRPr="002C7BCF">
        <w:rPr>
          <w:color w:val="000000" w:themeColor="text1"/>
          <w:szCs w:val="26"/>
        </w:rPr>
        <w:t xml:space="preserve"> № 410-ФЗ </w:t>
      </w:r>
      <w:r w:rsidR="00AC75CB" w:rsidRPr="002C7BCF">
        <w:rPr>
          <w:color w:val="000000" w:themeColor="text1"/>
          <w:szCs w:val="26"/>
        </w:rPr>
        <w:t>«</w:t>
      </w:r>
      <w:r w:rsidR="001C5719" w:rsidRPr="002C7BCF">
        <w:rPr>
          <w:color w:val="000000" w:themeColor="text1"/>
          <w:szCs w:val="26"/>
        </w:rPr>
        <w:t xml:space="preserve">О внесении изменений в Федеральный закон </w:t>
      </w:r>
      <w:r w:rsidR="00AC75CB" w:rsidRPr="002C7BCF">
        <w:rPr>
          <w:color w:val="000000" w:themeColor="text1"/>
          <w:szCs w:val="26"/>
        </w:rPr>
        <w:t>«</w:t>
      </w:r>
      <w:r w:rsidR="001C5719" w:rsidRPr="002C7BCF">
        <w:rPr>
          <w:color w:val="000000" w:themeColor="text1"/>
          <w:szCs w:val="26"/>
        </w:rPr>
        <w:t>О негосударственных пенсионных фондах</w:t>
      </w:r>
      <w:r w:rsidR="00AC75CB" w:rsidRPr="002C7BCF">
        <w:rPr>
          <w:color w:val="000000" w:themeColor="text1"/>
          <w:szCs w:val="26"/>
        </w:rPr>
        <w:t>»</w:t>
      </w:r>
      <w:r w:rsidR="001C5719" w:rsidRPr="002C7BCF">
        <w:rPr>
          <w:color w:val="000000" w:themeColor="text1"/>
          <w:szCs w:val="26"/>
        </w:rPr>
        <w:t xml:space="preserve"> и отдельные </w:t>
      </w:r>
      <w:r w:rsidR="001C5719" w:rsidRPr="002C7BCF">
        <w:rPr>
          <w:color w:val="000000" w:themeColor="text1"/>
          <w:szCs w:val="26"/>
        </w:rPr>
        <w:lastRenderedPageBreak/>
        <w:t>законодательные акты Российской Федерации</w:t>
      </w:r>
      <w:r w:rsidR="00AC75CB" w:rsidRPr="002C7BCF">
        <w:rPr>
          <w:color w:val="000000" w:themeColor="text1"/>
          <w:szCs w:val="26"/>
        </w:rPr>
        <w:t>»</w:t>
      </w:r>
      <w:r w:rsidR="00374E79" w:rsidRPr="002C7BCF">
        <w:rPr>
          <w:color w:val="000000" w:themeColor="text1"/>
          <w:szCs w:val="26"/>
        </w:rPr>
        <w:t>).</w:t>
      </w:r>
      <w:proofErr w:type="gramEnd"/>
      <w:r w:rsidR="00374E79" w:rsidRPr="002C7BCF">
        <w:rPr>
          <w:color w:val="000000" w:themeColor="text1"/>
          <w:szCs w:val="26"/>
        </w:rPr>
        <w:t xml:space="preserve"> </w:t>
      </w:r>
      <w:r w:rsidR="00B36929" w:rsidRPr="002C7BCF">
        <w:rPr>
          <w:color w:val="000000" w:themeColor="text1"/>
          <w:szCs w:val="26"/>
        </w:rPr>
        <w:t>С 2016 года привлечением клиентов по обязательному пенсионному страхованию занима</w:t>
      </w:r>
      <w:r w:rsidR="009A40AD" w:rsidRPr="002C7BCF">
        <w:rPr>
          <w:color w:val="000000" w:themeColor="text1"/>
          <w:szCs w:val="26"/>
        </w:rPr>
        <w:t>ются</w:t>
      </w:r>
      <w:r w:rsidR="00B36929" w:rsidRPr="002C7BCF">
        <w:rPr>
          <w:color w:val="000000" w:themeColor="text1"/>
          <w:szCs w:val="26"/>
        </w:rPr>
        <w:t xml:space="preserve"> только </w:t>
      </w:r>
      <w:r w:rsidR="0094144C" w:rsidRPr="002C7BCF">
        <w:rPr>
          <w:color w:val="000000" w:themeColor="text1"/>
          <w:szCs w:val="26"/>
        </w:rPr>
        <w:t>негосударственные пенсионные фонды</w:t>
      </w:r>
      <w:r w:rsidR="00B36929" w:rsidRPr="002C7BCF">
        <w:rPr>
          <w:color w:val="000000" w:themeColor="text1"/>
          <w:szCs w:val="26"/>
        </w:rPr>
        <w:t>, вступившие в систему гарантирования прав застрахованных лиц.</w:t>
      </w:r>
      <w:r w:rsidR="009600C4" w:rsidRPr="002C7BCF">
        <w:rPr>
          <w:color w:val="000000" w:themeColor="text1"/>
          <w:szCs w:val="26"/>
        </w:rPr>
        <w:t xml:space="preserve"> Р</w:t>
      </w:r>
      <w:r w:rsidR="002137B5" w:rsidRPr="002C7BCF">
        <w:rPr>
          <w:color w:val="000000" w:themeColor="text1"/>
          <w:szCs w:val="26"/>
        </w:rPr>
        <w:t>оль спец</w:t>
      </w:r>
      <w:r w:rsidR="00EB1B3B" w:rsidRPr="002C7BCF">
        <w:rPr>
          <w:color w:val="000000" w:themeColor="text1"/>
          <w:szCs w:val="26"/>
        </w:rPr>
        <w:t xml:space="preserve">иализированного </w:t>
      </w:r>
      <w:r w:rsidR="002137B5" w:rsidRPr="002C7BCF">
        <w:rPr>
          <w:color w:val="000000" w:themeColor="text1"/>
          <w:szCs w:val="26"/>
        </w:rPr>
        <w:t xml:space="preserve">депозитария во всех корпоративных процедурах этого </w:t>
      </w:r>
      <w:r w:rsidR="009600C4" w:rsidRPr="002C7BCF">
        <w:rPr>
          <w:color w:val="000000" w:themeColor="text1"/>
          <w:szCs w:val="26"/>
        </w:rPr>
        <w:t>процесса оказалась очень активной</w:t>
      </w:r>
      <w:r w:rsidR="003002A8" w:rsidRPr="002C7BCF">
        <w:rPr>
          <w:color w:val="000000" w:themeColor="text1"/>
          <w:szCs w:val="26"/>
        </w:rPr>
        <w:t>.</w:t>
      </w:r>
      <w:r w:rsidR="009600C4" w:rsidRPr="002C7BCF">
        <w:rPr>
          <w:color w:val="000000" w:themeColor="text1"/>
          <w:szCs w:val="26"/>
        </w:rPr>
        <w:t xml:space="preserve"> Так </w:t>
      </w:r>
      <w:r w:rsidR="00145D84" w:rsidRPr="002C7BCF">
        <w:rPr>
          <w:color w:val="000000" w:themeColor="text1"/>
          <w:szCs w:val="26"/>
        </w:rPr>
        <w:t xml:space="preserve">ООО </w:t>
      </w:r>
      <w:r w:rsidR="00AC75CB" w:rsidRPr="002C7BCF">
        <w:rPr>
          <w:color w:val="000000" w:themeColor="text1"/>
          <w:szCs w:val="26"/>
        </w:rPr>
        <w:t>«</w:t>
      </w:r>
      <w:r w:rsidR="00145D84" w:rsidRPr="002C7BCF">
        <w:rPr>
          <w:color w:val="000000" w:themeColor="text1"/>
          <w:szCs w:val="26"/>
        </w:rPr>
        <w:t xml:space="preserve">СДК </w:t>
      </w:r>
      <w:r w:rsidR="00AC75CB" w:rsidRPr="002C7BCF">
        <w:rPr>
          <w:color w:val="000000" w:themeColor="text1"/>
          <w:szCs w:val="26"/>
        </w:rPr>
        <w:t>«</w:t>
      </w:r>
      <w:r w:rsidR="00145D84" w:rsidRPr="002C7BCF">
        <w:rPr>
          <w:color w:val="000000" w:themeColor="text1"/>
          <w:szCs w:val="26"/>
        </w:rPr>
        <w:t>Гарант</w:t>
      </w:r>
      <w:r w:rsidR="00AC75CB" w:rsidRPr="002C7BCF">
        <w:rPr>
          <w:color w:val="000000" w:themeColor="text1"/>
          <w:szCs w:val="26"/>
        </w:rPr>
        <w:t>»</w:t>
      </w:r>
      <w:r w:rsidR="00145D84" w:rsidRPr="002C7BCF">
        <w:rPr>
          <w:color w:val="000000" w:themeColor="text1"/>
          <w:szCs w:val="26"/>
        </w:rPr>
        <w:t xml:space="preserve"> участвовал</w:t>
      </w:r>
      <w:r w:rsidR="00D2409D" w:rsidRPr="002C7BCF">
        <w:rPr>
          <w:color w:val="000000" w:themeColor="text1"/>
          <w:szCs w:val="26"/>
        </w:rPr>
        <w:t>о</w:t>
      </w:r>
      <w:r w:rsidR="00145D84" w:rsidRPr="002C7BCF">
        <w:rPr>
          <w:color w:val="000000" w:themeColor="text1"/>
          <w:szCs w:val="26"/>
        </w:rPr>
        <w:t xml:space="preserve"> в разработке </w:t>
      </w:r>
      <w:r w:rsidR="009600C4" w:rsidRPr="002C7BCF">
        <w:rPr>
          <w:color w:val="000000" w:themeColor="text1"/>
          <w:szCs w:val="26"/>
        </w:rPr>
        <w:t xml:space="preserve">процедур </w:t>
      </w:r>
      <w:r w:rsidR="00145D84" w:rsidRPr="002C7BCF">
        <w:rPr>
          <w:color w:val="000000" w:themeColor="text1"/>
          <w:szCs w:val="26"/>
        </w:rPr>
        <w:t xml:space="preserve">акционирования обслуживаемых </w:t>
      </w:r>
      <w:r w:rsidR="005579CA" w:rsidRPr="002C7BCF">
        <w:rPr>
          <w:color w:val="000000" w:themeColor="text1"/>
          <w:szCs w:val="26"/>
        </w:rPr>
        <w:t>фондов</w:t>
      </w:r>
      <w:r w:rsidR="00145D84" w:rsidRPr="002C7BCF">
        <w:rPr>
          <w:color w:val="000000" w:themeColor="text1"/>
          <w:szCs w:val="26"/>
        </w:rPr>
        <w:t>, осуществлял</w:t>
      </w:r>
      <w:r w:rsidR="005A3613" w:rsidRPr="002C7BCF">
        <w:rPr>
          <w:color w:val="000000" w:themeColor="text1"/>
          <w:szCs w:val="26"/>
        </w:rPr>
        <w:t>о</w:t>
      </w:r>
      <w:r w:rsidR="00145D84" w:rsidRPr="002C7BCF">
        <w:rPr>
          <w:color w:val="000000" w:themeColor="text1"/>
          <w:szCs w:val="26"/>
        </w:rPr>
        <w:t xml:space="preserve"> широкий спектр услуг по организационно-правовым </w:t>
      </w:r>
      <w:r w:rsidR="009600C4" w:rsidRPr="002C7BCF">
        <w:rPr>
          <w:color w:val="000000" w:themeColor="text1"/>
          <w:szCs w:val="26"/>
        </w:rPr>
        <w:t>вопросам</w:t>
      </w:r>
      <w:r w:rsidR="005579CA" w:rsidRPr="002C7BCF">
        <w:rPr>
          <w:color w:val="000000" w:themeColor="text1"/>
          <w:szCs w:val="26"/>
        </w:rPr>
        <w:t>,</w:t>
      </w:r>
      <w:r w:rsidR="00145D84" w:rsidRPr="002C7BCF">
        <w:rPr>
          <w:color w:val="000000" w:themeColor="text1"/>
          <w:szCs w:val="26"/>
        </w:rPr>
        <w:t xml:space="preserve"> таким</w:t>
      </w:r>
      <w:r w:rsidR="005579CA" w:rsidRPr="002C7BCF">
        <w:rPr>
          <w:color w:val="000000" w:themeColor="text1"/>
          <w:szCs w:val="26"/>
        </w:rPr>
        <w:t>,</w:t>
      </w:r>
      <w:r w:rsidR="00145D84" w:rsidRPr="002C7BCF">
        <w:rPr>
          <w:color w:val="000000" w:themeColor="text1"/>
          <w:szCs w:val="26"/>
        </w:rPr>
        <w:t xml:space="preserve"> как согласование необходимости и последовательности действий на различных этапах акционирования при выборе той или иной схемы акционирования. </w:t>
      </w:r>
      <w:r w:rsidR="002137B5" w:rsidRPr="002C7BCF">
        <w:rPr>
          <w:color w:val="000000" w:themeColor="text1"/>
          <w:szCs w:val="26"/>
        </w:rPr>
        <w:t xml:space="preserve">В рамках Группы </w:t>
      </w:r>
      <w:r w:rsidR="007237AA" w:rsidRPr="002C7BCF">
        <w:rPr>
          <w:color w:val="000000" w:themeColor="text1"/>
          <w:szCs w:val="26"/>
        </w:rPr>
        <w:t xml:space="preserve">компаний </w:t>
      </w:r>
      <w:r w:rsidR="00AC75CB" w:rsidRPr="002C7BCF">
        <w:rPr>
          <w:color w:val="000000" w:themeColor="text1"/>
          <w:szCs w:val="26"/>
        </w:rPr>
        <w:t>«</w:t>
      </w:r>
      <w:r w:rsidR="002137B5" w:rsidRPr="002C7BCF">
        <w:rPr>
          <w:color w:val="000000" w:themeColor="text1"/>
          <w:szCs w:val="26"/>
        </w:rPr>
        <w:t>Гарант</w:t>
      </w:r>
      <w:r w:rsidR="00AC75CB" w:rsidRPr="002C7BCF">
        <w:rPr>
          <w:color w:val="000000" w:themeColor="text1"/>
          <w:szCs w:val="26"/>
        </w:rPr>
        <w:t>»</w:t>
      </w:r>
      <w:r w:rsidR="002137B5" w:rsidRPr="002C7BCF">
        <w:rPr>
          <w:color w:val="000000" w:themeColor="text1"/>
          <w:szCs w:val="26"/>
        </w:rPr>
        <w:t xml:space="preserve"> </w:t>
      </w:r>
      <w:r w:rsidR="00691909" w:rsidRPr="002C7BCF">
        <w:rPr>
          <w:color w:val="000000" w:themeColor="text1"/>
          <w:szCs w:val="26"/>
        </w:rPr>
        <w:t xml:space="preserve">мы предлагаем </w:t>
      </w:r>
      <w:r w:rsidR="002137B5" w:rsidRPr="002C7BCF">
        <w:rPr>
          <w:color w:val="000000" w:themeColor="text1"/>
          <w:szCs w:val="26"/>
        </w:rPr>
        <w:t xml:space="preserve">акционированным </w:t>
      </w:r>
      <w:r w:rsidR="005579CA" w:rsidRPr="002C7BCF">
        <w:rPr>
          <w:color w:val="000000" w:themeColor="text1"/>
          <w:szCs w:val="26"/>
        </w:rPr>
        <w:t>фондам</w:t>
      </w:r>
      <w:r w:rsidR="002137B5" w:rsidRPr="002C7BCF">
        <w:rPr>
          <w:color w:val="000000" w:themeColor="text1"/>
          <w:szCs w:val="26"/>
        </w:rPr>
        <w:t xml:space="preserve"> услуги лицензированного реестродержателя ООО </w:t>
      </w:r>
      <w:r w:rsidR="00AC75CB" w:rsidRPr="002C7BCF">
        <w:rPr>
          <w:color w:val="000000" w:themeColor="text1"/>
          <w:szCs w:val="26"/>
        </w:rPr>
        <w:t>«</w:t>
      </w:r>
      <w:r w:rsidR="002137B5" w:rsidRPr="002C7BCF">
        <w:rPr>
          <w:color w:val="000000" w:themeColor="text1"/>
          <w:szCs w:val="26"/>
        </w:rPr>
        <w:t xml:space="preserve">Регистратор </w:t>
      </w:r>
      <w:r w:rsidR="00AC75CB" w:rsidRPr="002C7BCF">
        <w:rPr>
          <w:color w:val="000000" w:themeColor="text1"/>
          <w:szCs w:val="26"/>
        </w:rPr>
        <w:t>«</w:t>
      </w:r>
      <w:r w:rsidR="002137B5" w:rsidRPr="002C7BCF">
        <w:rPr>
          <w:color w:val="000000" w:themeColor="text1"/>
          <w:szCs w:val="26"/>
        </w:rPr>
        <w:t>Гарант</w:t>
      </w:r>
      <w:r w:rsidR="00AC75CB" w:rsidRPr="002C7BCF">
        <w:rPr>
          <w:color w:val="000000" w:themeColor="text1"/>
          <w:szCs w:val="26"/>
        </w:rPr>
        <w:t>»</w:t>
      </w:r>
      <w:r w:rsidR="002137B5" w:rsidRPr="002C7BCF">
        <w:rPr>
          <w:color w:val="000000" w:themeColor="text1"/>
          <w:szCs w:val="26"/>
        </w:rPr>
        <w:t xml:space="preserve"> по ведению реестров акционерных</w:t>
      </w:r>
      <w:r w:rsidR="00023CE1" w:rsidRPr="002C7BCF">
        <w:rPr>
          <w:color w:val="000000" w:themeColor="text1"/>
          <w:szCs w:val="26"/>
        </w:rPr>
        <w:t xml:space="preserve"> обществ, в полной мере отвечающего требованиям </w:t>
      </w:r>
      <w:r w:rsidR="00202EC1" w:rsidRPr="002C7BCF">
        <w:rPr>
          <w:color w:val="000000" w:themeColor="text1"/>
          <w:szCs w:val="26"/>
        </w:rPr>
        <w:t>современного рынка</w:t>
      </w:r>
      <w:r w:rsidR="00746D66" w:rsidRPr="002C7BCF">
        <w:rPr>
          <w:color w:val="000000" w:themeColor="text1"/>
          <w:szCs w:val="26"/>
        </w:rPr>
        <w:t xml:space="preserve"> регистраторских услуг</w:t>
      </w:r>
      <w:r w:rsidR="002137B5" w:rsidRPr="002C7BCF">
        <w:rPr>
          <w:color w:val="000000" w:themeColor="text1"/>
          <w:szCs w:val="26"/>
        </w:rPr>
        <w:t>.</w:t>
      </w:r>
    </w:p>
    <w:p w14:paraId="1D69F2F2" w14:textId="107E52E3" w:rsidR="00D01C20" w:rsidRPr="002C7BCF" w:rsidRDefault="007C4B56" w:rsidP="002C7BCF">
      <w:pPr>
        <w:pStyle w:val="2"/>
        <w:rPr>
          <w:color w:val="000000" w:themeColor="text1"/>
          <w:szCs w:val="26"/>
        </w:rPr>
      </w:pPr>
      <w:r w:rsidRPr="002C7BCF">
        <w:rPr>
          <w:color w:val="000000" w:themeColor="text1"/>
          <w:szCs w:val="26"/>
        </w:rPr>
        <w:t>П</w:t>
      </w:r>
      <w:r w:rsidR="006D5357" w:rsidRPr="002C7BCF">
        <w:rPr>
          <w:color w:val="000000" w:themeColor="text1"/>
          <w:szCs w:val="26"/>
        </w:rPr>
        <w:t>остепенно</w:t>
      </w:r>
      <w:r w:rsidR="001C433F" w:rsidRPr="002C7BCF">
        <w:rPr>
          <w:color w:val="000000" w:themeColor="text1"/>
          <w:szCs w:val="26"/>
        </w:rPr>
        <w:t xml:space="preserve">, шаг за шагом, специализированный депозитарий рос профессионально вместе </w:t>
      </w:r>
      <w:r w:rsidR="009A40AD" w:rsidRPr="002C7BCF">
        <w:rPr>
          <w:color w:val="000000" w:themeColor="text1"/>
          <w:szCs w:val="26"/>
        </w:rPr>
        <w:t>с</w:t>
      </w:r>
      <w:r w:rsidR="001C433F" w:rsidRPr="002C7BCF">
        <w:rPr>
          <w:color w:val="000000" w:themeColor="text1"/>
          <w:szCs w:val="26"/>
        </w:rPr>
        <w:t>о своими клиентами</w:t>
      </w:r>
      <w:proofErr w:type="gramStart"/>
      <w:r w:rsidR="001C433F" w:rsidRPr="002C7BCF">
        <w:rPr>
          <w:color w:val="000000" w:themeColor="text1"/>
          <w:szCs w:val="26"/>
        </w:rPr>
        <w:t>.</w:t>
      </w:r>
      <w:proofErr w:type="gramEnd"/>
      <w:r w:rsidR="001C433F" w:rsidRPr="002C7BCF">
        <w:rPr>
          <w:color w:val="000000" w:themeColor="text1"/>
          <w:szCs w:val="26"/>
        </w:rPr>
        <w:t xml:space="preserve"> </w:t>
      </w:r>
      <w:proofErr w:type="gramStart"/>
      <w:r w:rsidR="00AC75CB" w:rsidRPr="002C7BCF">
        <w:rPr>
          <w:color w:val="000000" w:themeColor="text1"/>
          <w:szCs w:val="26"/>
        </w:rPr>
        <w:t>С</w:t>
      </w:r>
      <w:r w:rsidR="00D01C20" w:rsidRPr="002C7BCF">
        <w:rPr>
          <w:color w:val="000000" w:themeColor="text1"/>
          <w:szCs w:val="26"/>
        </w:rPr>
        <w:t xml:space="preserve"> января 201</w:t>
      </w:r>
      <w:r w:rsidR="00A43156" w:rsidRPr="002C7BCF">
        <w:rPr>
          <w:color w:val="000000" w:themeColor="text1"/>
          <w:szCs w:val="26"/>
        </w:rPr>
        <w:t>5</w:t>
      </w:r>
      <w:r w:rsidR="00D01C20" w:rsidRPr="002C7BCF">
        <w:rPr>
          <w:color w:val="000000" w:themeColor="text1"/>
          <w:szCs w:val="26"/>
        </w:rPr>
        <w:t xml:space="preserve"> в связи с внесенными изменениями в </w:t>
      </w:r>
      <w:r w:rsidR="00564428" w:rsidRPr="002C7BCF">
        <w:rPr>
          <w:color w:val="000000" w:themeColor="text1"/>
          <w:szCs w:val="26"/>
        </w:rPr>
        <w:t xml:space="preserve">Федеральный закон </w:t>
      </w:r>
      <w:r w:rsidR="00AC75CB" w:rsidRPr="002C7BCF">
        <w:rPr>
          <w:color w:val="000000" w:themeColor="text1"/>
          <w:szCs w:val="26"/>
        </w:rPr>
        <w:t>«</w:t>
      </w:r>
      <w:r w:rsidR="00564428" w:rsidRPr="002C7BCF">
        <w:rPr>
          <w:color w:val="000000" w:themeColor="text1"/>
          <w:szCs w:val="26"/>
        </w:rPr>
        <w:t>О негосударственных пенсионных фондах</w:t>
      </w:r>
      <w:r w:rsidR="00AC75CB" w:rsidRPr="002C7BCF">
        <w:rPr>
          <w:color w:val="000000" w:themeColor="text1"/>
          <w:szCs w:val="26"/>
        </w:rPr>
        <w:t>»</w:t>
      </w:r>
      <w:r w:rsidR="00564428" w:rsidRPr="002C7BCF">
        <w:rPr>
          <w:color w:val="000000" w:themeColor="text1"/>
          <w:szCs w:val="26"/>
        </w:rPr>
        <w:t xml:space="preserve"> от 07.05.1998</w:t>
      </w:r>
      <w:r w:rsidR="00AC75CB" w:rsidRPr="002C7BCF">
        <w:rPr>
          <w:color w:val="000000" w:themeColor="text1"/>
          <w:szCs w:val="26"/>
        </w:rPr>
        <w:t xml:space="preserve"> г.</w:t>
      </w:r>
      <w:r w:rsidR="00564428" w:rsidRPr="002C7BCF">
        <w:rPr>
          <w:color w:val="000000" w:themeColor="text1"/>
          <w:szCs w:val="26"/>
        </w:rPr>
        <w:t xml:space="preserve"> </w:t>
      </w:r>
      <w:r w:rsidR="00AC75CB" w:rsidRPr="002C7BCF">
        <w:rPr>
          <w:color w:val="000000" w:themeColor="text1"/>
          <w:szCs w:val="26"/>
        </w:rPr>
        <w:t>№</w:t>
      </w:r>
      <w:r w:rsidR="00564428" w:rsidRPr="002C7BCF">
        <w:rPr>
          <w:color w:val="000000" w:themeColor="text1"/>
          <w:szCs w:val="26"/>
        </w:rPr>
        <w:t>75-ФЗ</w:t>
      </w:r>
      <w:r w:rsidR="00564428" w:rsidRPr="002C7BCF" w:rsidDel="00564428">
        <w:rPr>
          <w:color w:val="000000" w:themeColor="text1"/>
          <w:szCs w:val="26"/>
        </w:rPr>
        <w:t xml:space="preserve"> </w:t>
      </w:r>
      <w:r w:rsidR="00D01C20" w:rsidRPr="002C7BCF">
        <w:rPr>
          <w:color w:val="000000" w:themeColor="text1"/>
          <w:szCs w:val="26"/>
        </w:rPr>
        <w:t xml:space="preserve">(для акционерных пенсионных фондов) и в </w:t>
      </w:r>
      <w:r w:rsidR="00AC75CB" w:rsidRPr="002C7BCF">
        <w:rPr>
          <w:color w:val="000000" w:themeColor="text1"/>
          <w:szCs w:val="26"/>
        </w:rPr>
        <w:t>Федеральный закон «О внесении изменений в Федеральный закон «О негосударственных пенсионных фондах» и отдельные законодательные акты Российской Федерации» от 28.12.2013 г. №410-ФЗ</w:t>
      </w:r>
      <w:r w:rsidR="00AC75CB" w:rsidRPr="002C7BCF" w:rsidDel="00AC75CB">
        <w:rPr>
          <w:color w:val="000000" w:themeColor="text1"/>
          <w:szCs w:val="26"/>
        </w:rPr>
        <w:t xml:space="preserve"> </w:t>
      </w:r>
      <w:r w:rsidR="00D01C20" w:rsidRPr="002C7BCF">
        <w:rPr>
          <w:color w:val="000000" w:themeColor="text1"/>
          <w:szCs w:val="26"/>
        </w:rPr>
        <w:t xml:space="preserve">(для тех фондов, которые еще не прошли процедуру акционирования) </w:t>
      </w:r>
      <w:r w:rsidR="00A43156" w:rsidRPr="002C7BCF">
        <w:rPr>
          <w:color w:val="000000" w:themeColor="text1"/>
          <w:szCs w:val="26"/>
        </w:rPr>
        <w:t>специализированные депозитарии начали осуществлять</w:t>
      </w:r>
      <w:proofErr w:type="gramEnd"/>
      <w:r w:rsidR="00A43156" w:rsidRPr="002C7BCF">
        <w:rPr>
          <w:color w:val="000000" w:themeColor="text1"/>
          <w:szCs w:val="26"/>
        </w:rPr>
        <w:t xml:space="preserve"> и </w:t>
      </w:r>
      <w:r w:rsidR="00D01C20" w:rsidRPr="002C7BCF">
        <w:rPr>
          <w:color w:val="000000" w:themeColor="text1"/>
          <w:szCs w:val="26"/>
        </w:rPr>
        <w:t>предварительны</w:t>
      </w:r>
      <w:r w:rsidR="00A43156" w:rsidRPr="002C7BCF">
        <w:rPr>
          <w:color w:val="000000" w:themeColor="text1"/>
          <w:szCs w:val="26"/>
        </w:rPr>
        <w:t xml:space="preserve">й </w:t>
      </w:r>
      <w:proofErr w:type="gramStart"/>
      <w:r w:rsidR="00A43156" w:rsidRPr="002C7BCF">
        <w:rPr>
          <w:color w:val="000000" w:themeColor="text1"/>
          <w:szCs w:val="26"/>
        </w:rPr>
        <w:t>контроль за</w:t>
      </w:r>
      <w:proofErr w:type="gramEnd"/>
      <w:r w:rsidR="00A43156" w:rsidRPr="002C7BCF">
        <w:rPr>
          <w:color w:val="000000" w:themeColor="text1"/>
          <w:szCs w:val="26"/>
        </w:rPr>
        <w:t xml:space="preserve"> всеми операциями фондов</w:t>
      </w:r>
      <w:r w:rsidR="00D01C20" w:rsidRPr="002C7BCF">
        <w:rPr>
          <w:color w:val="000000" w:themeColor="text1"/>
          <w:szCs w:val="26"/>
        </w:rPr>
        <w:t xml:space="preserve">. Подходы к </w:t>
      </w:r>
      <w:proofErr w:type="gramStart"/>
      <w:r w:rsidR="00D01C20" w:rsidRPr="002C7BCF">
        <w:rPr>
          <w:color w:val="000000" w:themeColor="text1"/>
          <w:szCs w:val="26"/>
        </w:rPr>
        <w:t xml:space="preserve">контролю </w:t>
      </w:r>
      <w:r w:rsidR="00A43156" w:rsidRPr="002C7BCF">
        <w:rPr>
          <w:color w:val="000000" w:themeColor="text1"/>
          <w:szCs w:val="26"/>
        </w:rPr>
        <w:t>за</w:t>
      </w:r>
      <w:proofErr w:type="gramEnd"/>
      <w:r w:rsidR="00A43156" w:rsidRPr="002C7BCF">
        <w:rPr>
          <w:color w:val="000000" w:themeColor="text1"/>
          <w:szCs w:val="26"/>
        </w:rPr>
        <w:t xml:space="preserve"> операциями</w:t>
      </w:r>
      <w:r w:rsidR="00D01C20" w:rsidRPr="002C7BCF">
        <w:rPr>
          <w:color w:val="000000" w:themeColor="text1"/>
          <w:szCs w:val="26"/>
        </w:rPr>
        <w:t xml:space="preserve">, </w:t>
      </w:r>
      <w:r w:rsidR="00A43156" w:rsidRPr="002C7BCF">
        <w:rPr>
          <w:color w:val="000000" w:themeColor="text1"/>
          <w:szCs w:val="26"/>
        </w:rPr>
        <w:t>совершаемыми негосударственными пенсионными фондами и</w:t>
      </w:r>
      <w:r w:rsidR="00D01C20" w:rsidRPr="002C7BCF">
        <w:rPr>
          <w:color w:val="000000" w:themeColor="text1"/>
          <w:szCs w:val="26"/>
        </w:rPr>
        <w:t xml:space="preserve"> управляющи</w:t>
      </w:r>
      <w:r w:rsidR="00A43156" w:rsidRPr="002C7BCF">
        <w:rPr>
          <w:color w:val="000000" w:themeColor="text1"/>
          <w:szCs w:val="26"/>
        </w:rPr>
        <w:t>ми</w:t>
      </w:r>
      <w:r w:rsidRPr="002C7BCF">
        <w:rPr>
          <w:color w:val="000000" w:themeColor="text1"/>
          <w:szCs w:val="26"/>
        </w:rPr>
        <w:t xml:space="preserve"> компаниями</w:t>
      </w:r>
      <w:r w:rsidR="00D01C20" w:rsidRPr="002C7BCF">
        <w:rPr>
          <w:color w:val="000000" w:themeColor="text1"/>
          <w:szCs w:val="26"/>
        </w:rPr>
        <w:t>, были приведены к единообразию</w:t>
      </w:r>
      <w:r w:rsidRPr="002C7BCF">
        <w:rPr>
          <w:color w:val="000000" w:themeColor="text1"/>
          <w:szCs w:val="26"/>
        </w:rPr>
        <w:t>. Т</w:t>
      </w:r>
      <w:r w:rsidR="001C433F" w:rsidRPr="002C7BCF">
        <w:rPr>
          <w:color w:val="000000" w:themeColor="text1"/>
          <w:szCs w:val="26"/>
        </w:rPr>
        <w:t xml:space="preserve">еперь </w:t>
      </w:r>
      <w:r w:rsidR="00A43156" w:rsidRPr="002C7BCF">
        <w:rPr>
          <w:color w:val="000000" w:themeColor="text1"/>
          <w:szCs w:val="26"/>
        </w:rPr>
        <w:t xml:space="preserve">все </w:t>
      </w:r>
      <w:r w:rsidR="00D01C20" w:rsidRPr="002C7BCF">
        <w:rPr>
          <w:color w:val="000000" w:themeColor="text1"/>
          <w:szCs w:val="26"/>
        </w:rPr>
        <w:t>операции совершаются только с предварительного согласия специализированных депозитариев.</w:t>
      </w:r>
      <w:r w:rsidR="00A43156" w:rsidRPr="002C7BCF">
        <w:rPr>
          <w:color w:val="000000" w:themeColor="text1"/>
          <w:szCs w:val="26"/>
        </w:rPr>
        <w:t xml:space="preserve"> Исключением являются только пенсионные выплаты, </w:t>
      </w:r>
      <w:r w:rsidR="0095240A" w:rsidRPr="002C7BCF">
        <w:rPr>
          <w:color w:val="000000" w:themeColor="text1"/>
          <w:szCs w:val="26"/>
        </w:rPr>
        <w:t>осуществляемые</w:t>
      </w:r>
      <w:r w:rsidR="00A43156" w:rsidRPr="002C7BCF">
        <w:rPr>
          <w:color w:val="000000" w:themeColor="text1"/>
          <w:szCs w:val="26"/>
        </w:rPr>
        <w:t xml:space="preserve"> фондами.</w:t>
      </w:r>
    </w:p>
    <w:p w14:paraId="03BA0A78" w14:textId="2482FFB6" w:rsidR="00AA1161" w:rsidRPr="002C7BCF" w:rsidRDefault="00AA1161" w:rsidP="002C7BCF">
      <w:pPr>
        <w:pStyle w:val="2"/>
        <w:rPr>
          <w:szCs w:val="26"/>
        </w:rPr>
      </w:pPr>
      <w:r w:rsidRPr="002C7BCF">
        <w:rPr>
          <w:szCs w:val="26"/>
        </w:rPr>
        <w:t xml:space="preserve">Безусловно, сложившаяся система контроля «НПФ </w:t>
      </w:r>
      <w:r w:rsidR="0095240A" w:rsidRPr="002C7BCF">
        <w:rPr>
          <w:szCs w:val="26"/>
        </w:rPr>
        <w:t>–</w:t>
      </w:r>
      <w:r w:rsidRPr="002C7BCF">
        <w:rPr>
          <w:szCs w:val="26"/>
        </w:rPr>
        <w:t xml:space="preserve"> спец</w:t>
      </w:r>
      <w:r w:rsidR="0095240A" w:rsidRPr="002C7BCF">
        <w:rPr>
          <w:szCs w:val="26"/>
        </w:rPr>
        <w:t xml:space="preserve">иализированный </w:t>
      </w:r>
      <w:r w:rsidRPr="002C7BCF">
        <w:rPr>
          <w:szCs w:val="26"/>
        </w:rPr>
        <w:t xml:space="preserve">депозитарий </w:t>
      </w:r>
      <w:r w:rsidR="0095240A" w:rsidRPr="002C7BCF">
        <w:rPr>
          <w:szCs w:val="26"/>
        </w:rPr>
        <w:t>–</w:t>
      </w:r>
      <w:r w:rsidRPr="002C7BCF">
        <w:rPr>
          <w:szCs w:val="26"/>
        </w:rPr>
        <w:t xml:space="preserve"> </w:t>
      </w:r>
      <w:r w:rsidR="0095240A" w:rsidRPr="002C7BCF">
        <w:rPr>
          <w:szCs w:val="26"/>
        </w:rPr>
        <w:t>Банк России</w:t>
      </w:r>
      <w:r w:rsidRPr="002C7BCF">
        <w:rPr>
          <w:szCs w:val="26"/>
        </w:rPr>
        <w:t xml:space="preserve">» </w:t>
      </w:r>
      <w:r w:rsidR="00691909" w:rsidRPr="002C7BCF">
        <w:rPr>
          <w:szCs w:val="26"/>
        </w:rPr>
        <w:t xml:space="preserve">удовлетворяет всех </w:t>
      </w:r>
      <w:r w:rsidRPr="002C7BCF">
        <w:rPr>
          <w:szCs w:val="26"/>
        </w:rPr>
        <w:t>участников рынка и позволяет обеспечить эффективный контроль соответствия деятельности фондов</w:t>
      </w:r>
      <w:r w:rsidR="0095240A" w:rsidRPr="002C7BCF">
        <w:rPr>
          <w:szCs w:val="26"/>
        </w:rPr>
        <w:t>,</w:t>
      </w:r>
      <w:r w:rsidRPr="002C7BCF">
        <w:rPr>
          <w:szCs w:val="26"/>
        </w:rPr>
        <w:t xml:space="preserve"> как действующим, так и ожидаемым требованиям законодательства. Наличие конкуренции между специализированными депозитариями способствует </w:t>
      </w:r>
      <w:r w:rsidRPr="002C7BCF">
        <w:rPr>
          <w:szCs w:val="26"/>
        </w:rPr>
        <w:lastRenderedPageBreak/>
        <w:t>всестороннему повышению качества обслуживания, совершенствованию и внедрению новых технологий и формированию рыночных тарифов.</w:t>
      </w:r>
    </w:p>
    <w:p w14:paraId="366E5F92" w14:textId="77777777" w:rsidR="0095240A" w:rsidRPr="002C7BCF" w:rsidRDefault="00AC75CB" w:rsidP="002C7BCF">
      <w:pPr>
        <w:pStyle w:val="2"/>
        <w:rPr>
          <w:color w:val="000000" w:themeColor="text1"/>
          <w:szCs w:val="26"/>
        </w:rPr>
      </w:pPr>
      <w:r w:rsidRPr="002C7BCF">
        <w:rPr>
          <w:color w:val="000000" w:themeColor="text1"/>
          <w:szCs w:val="26"/>
        </w:rPr>
        <w:t xml:space="preserve">2015 год ознаменовался </w:t>
      </w:r>
      <w:r w:rsidR="00FD444A" w:rsidRPr="002C7BCF">
        <w:rPr>
          <w:color w:val="000000" w:themeColor="text1"/>
          <w:szCs w:val="26"/>
        </w:rPr>
        <w:t xml:space="preserve">также </w:t>
      </w:r>
      <w:r w:rsidRPr="002C7BCF">
        <w:rPr>
          <w:color w:val="000000" w:themeColor="text1"/>
          <w:szCs w:val="26"/>
        </w:rPr>
        <w:t>с</w:t>
      </w:r>
      <w:r w:rsidR="00F07C6C" w:rsidRPr="002C7BCF">
        <w:rPr>
          <w:color w:val="000000" w:themeColor="text1"/>
          <w:szCs w:val="26"/>
        </w:rPr>
        <w:t>ерьезны</w:t>
      </w:r>
      <w:r w:rsidRPr="002C7BCF">
        <w:rPr>
          <w:color w:val="000000" w:themeColor="text1"/>
          <w:szCs w:val="26"/>
        </w:rPr>
        <w:t>ми</w:t>
      </w:r>
      <w:r w:rsidR="00F07C6C" w:rsidRPr="002C7BCF">
        <w:rPr>
          <w:color w:val="000000" w:themeColor="text1"/>
          <w:szCs w:val="26"/>
        </w:rPr>
        <w:t xml:space="preserve"> </w:t>
      </w:r>
      <w:r w:rsidRPr="002C7BCF">
        <w:rPr>
          <w:color w:val="000000" w:themeColor="text1"/>
          <w:szCs w:val="26"/>
        </w:rPr>
        <w:t>регуляторными нагрузками</w:t>
      </w:r>
      <w:r w:rsidR="00AA1161" w:rsidRPr="002C7BCF">
        <w:rPr>
          <w:color w:val="000000" w:themeColor="text1"/>
          <w:szCs w:val="26"/>
        </w:rPr>
        <w:t xml:space="preserve"> для специализированных депозитариев</w:t>
      </w:r>
      <w:r w:rsidR="00F07C6C" w:rsidRPr="002C7BCF">
        <w:rPr>
          <w:color w:val="000000" w:themeColor="text1"/>
          <w:szCs w:val="26"/>
        </w:rPr>
        <w:t xml:space="preserve">: </w:t>
      </w:r>
      <w:r w:rsidR="00340E27" w:rsidRPr="002C7BCF">
        <w:rPr>
          <w:color w:val="000000" w:themeColor="text1"/>
          <w:szCs w:val="26"/>
        </w:rPr>
        <w:t xml:space="preserve">появилось </w:t>
      </w:r>
      <w:r w:rsidR="00F07C6C" w:rsidRPr="002C7BCF">
        <w:rPr>
          <w:color w:val="000000" w:themeColor="text1"/>
          <w:szCs w:val="26"/>
        </w:rPr>
        <w:t xml:space="preserve">много новой отчетности, </w:t>
      </w:r>
      <w:r w:rsidR="00340E27" w:rsidRPr="002C7BCF">
        <w:rPr>
          <w:color w:val="000000" w:themeColor="text1"/>
          <w:szCs w:val="26"/>
        </w:rPr>
        <w:t xml:space="preserve">прошли </w:t>
      </w:r>
      <w:r w:rsidR="00F07C6C" w:rsidRPr="002C7BCF">
        <w:rPr>
          <w:color w:val="000000" w:themeColor="text1"/>
          <w:szCs w:val="26"/>
        </w:rPr>
        <w:t>проверки</w:t>
      </w:r>
      <w:r w:rsidR="00AA1161" w:rsidRPr="002C7BCF">
        <w:rPr>
          <w:color w:val="000000" w:themeColor="text1"/>
          <w:szCs w:val="26"/>
        </w:rPr>
        <w:t xml:space="preserve"> со стороны </w:t>
      </w:r>
      <w:r w:rsidR="0095240A" w:rsidRPr="002C7BCF">
        <w:rPr>
          <w:color w:val="000000" w:themeColor="text1"/>
          <w:szCs w:val="26"/>
        </w:rPr>
        <w:t>Банка России</w:t>
      </w:r>
      <w:r w:rsidR="00F07C6C" w:rsidRPr="002C7BCF">
        <w:rPr>
          <w:color w:val="000000" w:themeColor="text1"/>
          <w:szCs w:val="26"/>
        </w:rPr>
        <w:t xml:space="preserve">, </w:t>
      </w:r>
      <w:r w:rsidR="00340E27" w:rsidRPr="002C7BCF">
        <w:rPr>
          <w:color w:val="000000" w:themeColor="text1"/>
          <w:szCs w:val="26"/>
        </w:rPr>
        <w:t xml:space="preserve">началась </w:t>
      </w:r>
      <w:r w:rsidR="00F07C6C" w:rsidRPr="002C7BCF">
        <w:rPr>
          <w:color w:val="000000" w:themeColor="text1"/>
          <w:szCs w:val="26"/>
        </w:rPr>
        <w:t xml:space="preserve">подготовка к переходу на новые стандарты учета, </w:t>
      </w:r>
      <w:r w:rsidR="00340E27" w:rsidRPr="002C7BCF">
        <w:rPr>
          <w:color w:val="000000" w:themeColor="text1"/>
          <w:szCs w:val="26"/>
        </w:rPr>
        <w:t xml:space="preserve">введены </w:t>
      </w:r>
      <w:r w:rsidR="00F07C6C" w:rsidRPr="002C7BCF">
        <w:rPr>
          <w:color w:val="000000" w:themeColor="text1"/>
          <w:szCs w:val="26"/>
        </w:rPr>
        <w:t>дополнительные контрольные процедуры</w:t>
      </w:r>
      <w:r w:rsidR="00AA1161" w:rsidRPr="002C7BCF">
        <w:rPr>
          <w:color w:val="000000" w:themeColor="text1"/>
          <w:szCs w:val="26"/>
        </w:rPr>
        <w:t xml:space="preserve">, </w:t>
      </w:r>
      <w:r w:rsidR="00FD444A" w:rsidRPr="002C7BCF">
        <w:rPr>
          <w:color w:val="000000" w:themeColor="text1"/>
          <w:szCs w:val="26"/>
        </w:rPr>
        <w:t xml:space="preserve">полным ходом идет </w:t>
      </w:r>
      <w:r w:rsidR="00AA1161" w:rsidRPr="002C7BCF">
        <w:rPr>
          <w:color w:val="000000" w:themeColor="text1"/>
          <w:szCs w:val="26"/>
        </w:rPr>
        <w:t>д</w:t>
      </w:r>
      <w:r w:rsidR="00F07C6C" w:rsidRPr="002C7BCF">
        <w:rPr>
          <w:color w:val="000000" w:themeColor="text1"/>
          <w:szCs w:val="26"/>
        </w:rPr>
        <w:t xml:space="preserve">еофшоризация, изменения депозитарных процессов, корпоративных процедур, требований ПОД/ФТ, FATCA, </w:t>
      </w:r>
      <w:r w:rsidR="0095240A" w:rsidRPr="002C7BCF">
        <w:rPr>
          <w:color w:val="000000" w:themeColor="text1"/>
          <w:szCs w:val="26"/>
        </w:rPr>
        <w:t>развитие системы управления рисками</w:t>
      </w:r>
      <w:r w:rsidR="00F07C6C" w:rsidRPr="002C7BCF">
        <w:rPr>
          <w:color w:val="000000" w:themeColor="text1"/>
          <w:szCs w:val="26"/>
        </w:rPr>
        <w:t xml:space="preserve">. </w:t>
      </w:r>
      <w:r w:rsidR="00FD444A" w:rsidRPr="002C7BCF">
        <w:rPr>
          <w:color w:val="000000" w:themeColor="text1"/>
          <w:szCs w:val="26"/>
        </w:rPr>
        <w:t>Введены новые требования к квалификации и наличию штатного персонала. Все это приводит к тому, что т</w:t>
      </w:r>
      <w:r w:rsidR="00F07C6C" w:rsidRPr="002C7BCF">
        <w:rPr>
          <w:color w:val="000000" w:themeColor="text1"/>
          <w:szCs w:val="26"/>
        </w:rPr>
        <w:t>рудоемкость и себестоимость услуг возрастают.</w:t>
      </w:r>
      <w:r w:rsidR="00691909" w:rsidRPr="002C7BCF">
        <w:rPr>
          <w:color w:val="000000" w:themeColor="text1"/>
          <w:szCs w:val="26"/>
        </w:rPr>
        <w:t xml:space="preserve"> </w:t>
      </w:r>
      <w:r w:rsidR="0030403F" w:rsidRPr="002C7BCF">
        <w:rPr>
          <w:color w:val="000000" w:themeColor="text1"/>
          <w:szCs w:val="26"/>
        </w:rPr>
        <w:t>Востребованными становятся д</w:t>
      </w:r>
      <w:r w:rsidR="006E560E" w:rsidRPr="002C7BCF">
        <w:rPr>
          <w:color w:val="000000" w:themeColor="text1"/>
          <w:szCs w:val="26"/>
        </w:rPr>
        <w:t xml:space="preserve">ополнительные услуги </w:t>
      </w:r>
      <w:r w:rsidR="0030403F" w:rsidRPr="002C7BCF">
        <w:rPr>
          <w:color w:val="000000" w:themeColor="text1"/>
          <w:szCs w:val="26"/>
        </w:rPr>
        <w:t>спец</w:t>
      </w:r>
      <w:r w:rsidR="0095240A" w:rsidRPr="002C7BCF">
        <w:rPr>
          <w:color w:val="000000" w:themeColor="text1"/>
          <w:szCs w:val="26"/>
        </w:rPr>
        <w:t xml:space="preserve">иализированных </w:t>
      </w:r>
      <w:r w:rsidR="0030403F" w:rsidRPr="002C7BCF">
        <w:rPr>
          <w:color w:val="000000" w:themeColor="text1"/>
          <w:szCs w:val="26"/>
        </w:rPr>
        <w:t xml:space="preserve">депозитариев </w:t>
      </w:r>
      <w:r w:rsidR="00AA1161" w:rsidRPr="002C7BCF">
        <w:rPr>
          <w:color w:val="000000" w:themeColor="text1"/>
          <w:szCs w:val="26"/>
        </w:rPr>
        <w:t xml:space="preserve">для </w:t>
      </w:r>
      <w:r w:rsidR="0095240A" w:rsidRPr="002C7BCF">
        <w:rPr>
          <w:color w:val="000000" w:themeColor="text1"/>
          <w:szCs w:val="26"/>
        </w:rPr>
        <w:t>фондов</w:t>
      </w:r>
      <w:r w:rsidR="00AA1161" w:rsidRPr="002C7BCF">
        <w:rPr>
          <w:color w:val="000000" w:themeColor="text1"/>
          <w:szCs w:val="26"/>
        </w:rPr>
        <w:t xml:space="preserve"> </w:t>
      </w:r>
      <w:r w:rsidR="006E560E" w:rsidRPr="002C7BCF">
        <w:rPr>
          <w:color w:val="000000" w:themeColor="text1"/>
          <w:szCs w:val="26"/>
        </w:rPr>
        <w:t>в части аутсорсинга отчетности, консалтинга по собственной деятельности и т.д.</w:t>
      </w:r>
      <w:r w:rsidR="0030403F" w:rsidRPr="002C7BCF">
        <w:rPr>
          <w:color w:val="000000" w:themeColor="text1"/>
          <w:szCs w:val="26"/>
        </w:rPr>
        <w:t>,</w:t>
      </w:r>
      <w:r w:rsidR="006E560E" w:rsidRPr="002C7BCF">
        <w:rPr>
          <w:color w:val="000000" w:themeColor="text1"/>
          <w:szCs w:val="26"/>
        </w:rPr>
        <w:t xml:space="preserve"> </w:t>
      </w:r>
      <w:r w:rsidR="0030403F" w:rsidRPr="002C7BCF">
        <w:rPr>
          <w:color w:val="000000" w:themeColor="text1"/>
          <w:szCs w:val="26"/>
        </w:rPr>
        <w:t>п</w:t>
      </w:r>
      <w:r w:rsidR="006E560E" w:rsidRPr="002C7BCF">
        <w:rPr>
          <w:color w:val="000000" w:themeColor="text1"/>
          <w:szCs w:val="26"/>
        </w:rPr>
        <w:t xml:space="preserve">редоставление дополнительных расчетов и </w:t>
      </w:r>
      <w:r w:rsidR="0095240A" w:rsidRPr="002C7BCF">
        <w:rPr>
          <w:color w:val="000000" w:themeColor="text1"/>
          <w:szCs w:val="26"/>
        </w:rPr>
        <w:t xml:space="preserve">аналитических </w:t>
      </w:r>
      <w:r w:rsidR="006E560E" w:rsidRPr="002C7BCF">
        <w:rPr>
          <w:color w:val="000000" w:themeColor="text1"/>
          <w:szCs w:val="26"/>
        </w:rPr>
        <w:t xml:space="preserve">данных. </w:t>
      </w:r>
      <w:r w:rsidR="0095240A" w:rsidRPr="002C7BCF">
        <w:rPr>
          <w:color w:val="000000" w:themeColor="text1"/>
          <w:szCs w:val="26"/>
        </w:rPr>
        <w:t xml:space="preserve"> </w:t>
      </w:r>
    </w:p>
    <w:p w14:paraId="06A14E23" w14:textId="47F5C561" w:rsidR="00C90D18" w:rsidRPr="002C7BCF" w:rsidRDefault="00C90D18" w:rsidP="002C7BCF">
      <w:pPr>
        <w:pStyle w:val="2"/>
        <w:rPr>
          <w:color w:val="FF0000"/>
          <w:szCs w:val="26"/>
        </w:rPr>
      </w:pPr>
      <w:r w:rsidRPr="002C7BCF">
        <w:rPr>
          <w:color w:val="000000" w:themeColor="text1"/>
          <w:szCs w:val="26"/>
        </w:rPr>
        <w:t xml:space="preserve">Одновременно </w:t>
      </w:r>
      <w:r w:rsidR="00FD444A" w:rsidRPr="002C7BCF">
        <w:rPr>
          <w:color w:val="000000" w:themeColor="text1"/>
          <w:szCs w:val="26"/>
        </w:rPr>
        <w:t xml:space="preserve">в 2015 году мы столкнулись с новой для себя ситуацией </w:t>
      </w:r>
      <w:r w:rsidR="0095240A" w:rsidRPr="002C7BCF">
        <w:rPr>
          <w:color w:val="000000" w:themeColor="text1"/>
          <w:szCs w:val="26"/>
        </w:rPr>
        <w:t xml:space="preserve">- </w:t>
      </w:r>
      <w:r w:rsidRPr="002C7BCF">
        <w:rPr>
          <w:color w:val="000000" w:themeColor="text1"/>
          <w:szCs w:val="26"/>
        </w:rPr>
        <w:t xml:space="preserve">отзыв лицензий у действующих </w:t>
      </w:r>
      <w:r w:rsidR="0095240A" w:rsidRPr="002C7BCF">
        <w:rPr>
          <w:color w:val="000000" w:themeColor="text1"/>
          <w:szCs w:val="26"/>
        </w:rPr>
        <w:t>негосударственных пенсионных фондов</w:t>
      </w:r>
      <w:r w:rsidRPr="002C7BCF">
        <w:rPr>
          <w:color w:val="000000" w:themeColor="text1"/>
          <w:szCs w:val="26"/>
        </w:rPr>
        <w:t xml:space="preserve">. </w:t>
      </w:r>
      <w:r w:rsidR="00FD444A" w:rsidRPr="002C7BCF">
        <w:rPr>
          <w:color w:val="000000" w:themeColor="text1"/>
          <w:szCs w:val="26"/>
        </w:rPr>
        <w:t xml:space="preserve">Практика показала, что отзыв лицензии у </w:t>
      </w:r>
      <w:r w:rsidR="0095240A" w:rsidRPr="002C7BCF">
        <w:rPr>
          <w:color w:val="000000" w:themeColor="text1"/>
          <w:szCs w:val="26"/>
        </w:rPr>
        <w:t xml:space="preserve">фонда </w:t>
      </w:r>
      <w:r w:rsidR="00FD444A" w:rsidRPr="002C7BCF">
        <w:rPr>
          <w:color w:val="000000" w:themeColor="text1"/>
          <w:szCs w:val="26"/>
        </w:rPr>
        <w:t>– это отнюдь не прекращение его обслуживания в специализированном депозитарии. Для спец</w:t>
      </w:r>
      <w:r w:rsidR="0095240A" w:rsidRPr="002C7BCF">
        <w:rPr>
          <w:color w:val="000000" w:themeColor="text1"/>
          <w:szCs w:val="26"/>
        </w:rPr>
        <w:t xml:space="preserve">иализированного </w:t>
      </w:r>
      <w:r w:rsidR="00FD444A" w:rsidRPr="002C7BCF">
        <w:rPr>
          <w:color w:val="000000" w:themeColor="text1"/>
          <w:szCs w:val="26"/>
        </w:rPr>
        <w:t xml:space="preserve">депозитария, как ни странно, это продолжение всех его функций, но уже на абсолютно безвозмездной основе. </w:t>
      </w:r>
      <w:r w:rsidR="007B3150" w:rsidRPr="002C7BCF">
        <w:rPr>
          <w:color w:val="000000" w:themeColor="text1"/>
          <w:szCs w:val="26"/>
        </w:rPr>
        <w:t xml:space="preserve">ООО </w:t>
      </w:r>
      <w:r w:rsidR="00AC75CB" w:rsidRPr="002C7BCF">
        <w:rPr>
          <w:color w:val="000000" w:themeColor="text1"/>
          <w:szCs w:val="26"/>
        </w:rPr>
        <w:t>«</w:t>
      </w:r>
      <w:r w:rsidR="007B3150" w:rsidRPr="002C7BCF">
        <w:rPr>
          <w:color w:val="000000" w:themeColor="text1"/>
          <w:szCs w:val="26"/>
        </w:rPr>
        <w:t xml:space="preserve">СДК </w:t>
      </w:r>
      <w:r w:rsidR="00AC75CB" w:rsidRPr="002C7BCF">
        <w:rPr>
          <w:color w:val="000000" w:themeColor="text1"/>
          <w:szCs w:val="26"/>
        </w:rPr>
        <w:t>«</w:t>
      </w:r>
      <w:r w:rsidR="007B3150" w:rsidRPr="002C7BCF">
        <w:rPr>
          <w:color w:val="000000" w:themeColor="text1"/>
          <w:szCs w:val="26"/>
        </w:rPr>
        <w:t>Гарант</w:t>
      </w:r>
      <w:r w:rsidR="00AC75CB" w:rsidRPr="002C7BCF">
        <w:rPr>
          <w:color w:val="000000" w:themeColor="text1"/>
          <w:szCs w:val="26"/>
        </w:rPr>
        <w:t>»</w:t>
      </w:r>
      <w:r w:rsidR="007B3150" w:rsidRPr="002C7BCF">
        <w:rPr>
          <w:color w:val="000000" w:themeColor="text1"/>
          <w:szCs w:val="26"/>
        </w:rPr>
        <w:t xml:space="preserve"> в рамках своих возможностей и полномочий </w:t>
      </w:r>
      <w:r w:rsidR="00CC5802" w:rsidRPr="002C7BCF">
        <w:rPr>
          <w:color w:val="000000" w:themeColor="text1"/>
          <w:szCs w:val="26"/>
        </w:rPr>
        <w:t xml:space="preserve">плотно взаимодействует с </w:t>
      </w:r>
      <w:r w:rsidR="00D873CF" w:rsidRPr="002C7BCF">
        <w:rPr>
          <w:color w:val="000000" w:themeColor="text1"/>
          <w:szCs w:val="26"/>
        </w:rPr>
        <w:t>Банком России</w:t>
      </w:r>
      <w:r w:rsidR="00CC5802" w:rsidRPr="002C7BCF">
        <w:rPr>
          <w:color w:val="000000" w:themeColor="text1"/>
          <w:szCs w:val="26"/>
        </w:rPr>
        <w:t xml:space="preserve">, </w:t>
      </w:r>
      <w:r w:rsidR="00301A8D" w:rsidRPr="002C7BCF">
        <w:rPr>
          <w:color w:val="000000" w:themeColor="text1"/>
          <w:szCs w:val="26"/>
        </w:rPr>
        <w:t>А</w:t>
      </w:r>
      <w:r w:rsidR="00E37297" w:rsidRPr="002C7BCF">
        <w:rPr>
          <w:color w:val="000000" w:themeColor="text1"/>
          <w:szCs w:val="26"/>
        </w:rPr>
        <w:t>гентством по страхованию вкладов</w:t>
      </w:r>
      <w:r w:rsidR="00301A8D" w:rsidRPr="002C7BCF">
        <w:rPr>
          <w:color w:val="000000" w:themeColor="text1"/>
          <w:szCs w:val="26"/>
        </w:rPr>
        <w:t xml:space="preserve">, </w:t>
      </w:r>
      <w:r w:rsidR="00CC5802" w:rsidRPr="002C7BCF">
        <w:rPr>
          <w:color w:val="000000" w:themeColor="text1"/>
          <w:szCs w:val="26"/>
        </w:rPr>
        <w:t xml:space="preserve">ликвидаторами </w:t>
      </w:r>
      <w:r w:rsidR="0095240A" w:rsidRPr="002C7BCF">
        <w:rPr>
          <w:color w:val="000000" w:themeColor="text1"/>
          <w:szCs w:val="26"/>
        </w:rPr>
        <w:t>негосударственных пенсионных фондов</w:t>
      </w:r>
      <w:r w:rsidR="00CC5802" w:rsidRPr="002C7BCF">
        <w:rPr>
          <w:color w:val="000000" w:themeColor="text1"/>
          <w:szCs w:val="26"/>
        </w:rPr>
        <w:t xml:space="preserve">, а также вносит законодательные инициативы </w:t>
      </w:r>
      <w:r w:rsidR="00102B9E" w:rsidRPr="002C7BCF">
        <w:rPr>
          <w:color w:val="000000" w:themeColor="text1"/>
          <w:szCs w:val="26"/>
        </w:rPr>
        <w:t>в составе рабоч</w:t>
      </w:r>
      <w:r w:rsidR="00301A8D" w:rsidRPr="002C7BCF">
        <w:rPr>
          <w:color w:val="000000" w:themeColor="text1"/>
          <w:szCs w:val="26"/>
        </w:rPr>
        <w:t>их</w:t>
      </w:r>
      <w:r w:rsidR="00102B9E" w:rsidRPr="002C7BCF">
        <w:rPr>
          <w:color w:val="000000" w:themeColor="text1"/>
          <w:szCs w:val="26"/>
        </w:rPr>
        <w:t xml:space="preserve"> групп при </w:t>
      </w:r>
      <w:r w:rsidR="00D873CF" w:rsidRPr="002C7BCF">
        <w:rPr>
          <w:color w:val="000000" w:themeColor="text1"/>
          <w:szCs w:val="26"/>
        </w:rPr>
        <w:t>Банке России</w:t>
      </w:r>
      <w:r w:rsidR="0066464E" w:rsidRPr="002C7BCF">
        <w:rPr>
          <w:color w:val="000000" w:themeColor="text1"/>
          <w:szCs w:val="26"/>
        </w:rPr>
        <w:t>, НАПФ и ПАРТАД.</w:t>
      </w:r>
      <w:r w:rsidR="00703AB7" w:rsidRPr="002C7BCF">
        <w:rPr>
          <w:color w:val="FF0000"/>
          <w:szCs w:val="26"/>
        </w:rPr>
        <w:t xml:space="preserve"> </w:t>
      </w:r>
    </w:p>
    <w:p w14:paraId="7AE21535" w14:textId="77777777" w:rsidR="00E77AA0" w:rsidRPr="002C7BCF" w:rsidRDefault="0089528A" w:rsidP="002C7BCF">
      <w:pPr>
        <w:pStyle w:val="2"/>
        <w:rPr>
          <w:color w:val="000000" w:themeColor="text1"/>
          <w:szCs w:val="26"/>
        </w:rPr>
      </w:pPr>
      <w:r w:rsidRPr="002C7BCF">
        <w:rPr>
          <w:color w:val="000000" w:themeColor="text1"/>
          <w:szCs w:val="26"/>
        </w:rPr>
        <w:t xml:space="preserve">Рынок </w:t>
      </w:r>
      <w:r w:rsidR="00E77AA0" w:rsidRPr="002C7BCF">
        <w:rPr>
          <w:color w:val="000000" w:themeColor="text1"/>
          <w:szCs w:val="26"/>
        </w:rPr>
        <w:t>негосударственных пенсионных фондов</w:t>
      </w:r>
      <w:r w:rsidRPr="002C7BCF">
        <w:rPr>
          <w:color w:val="000000" w:themeColor="text1"/>
          <w:szCs w:val="26"/>
        </w:rPr>
        <w:t xml:space="preserve"> </w:t>
      </w:r>
      <w:r w:rsidR="00D873CF" w:rsidRPr="002C7BCF">
        <w:rPr>
          <w:color w:val="000000" w:themeColor="text1"/>
          <w:szCs w:val="26"/>
        </w:rPr>
        <w:t xml:space="preserve">ожидают </w:t>
      </w:r>
      <w:r w:rsidR="00984CCF" w:rsidRPr="002C7BCF">
        <w:rPr>
          <w:color w:val="000000" w:themeColor="text1"/>
          <w:szCs w:val="26"/>
        </w:rPr>
        <w:t xml:space="preserve">новые законодательные инициативы, в </w:t>
      </w:r>
      <w:r w:rsidR="00564428" w:rsidRPr="002C7BCF">
        <w:rPr>
          <w:color w:val="000000" w:themeColor="text1"/>
          <w:szCs w:val="26"/>
        </w:rPr>
        <w:t xml:space="preserve">их </w:t>
      </w:r>
      <w:r w:rsidR="00984CCF" w:rsidRPr="002C7BCF">
        <w:rPr>
          <w:color w:val="000000" w:themeColor="text1"/>
          <w:szCs w:val="26"/>
        </w:rPr>
        <w:t>числе</w:t>
      </w:r>
      <w:r w:rsidR="006E560E" w:rsidRPr="002C7BCF">
        <w:rPr>
          <w:color w:val="000000" w:themeColor="text1"/>
          <w:szCs w:val="26"/>
        </w:rPr>
        <w:t xml:space="preserve"> </w:t>
      </w:r>
      <w:r w:rsidR="00564428" w:rsidRPr="002C7BCF">
        <w:rPr>
          <w:color w:val="000000" w:themeColor="text1"/>
          <w:szCs w:val="26"/>
        </w:rPr>
        <w:t xml:space="preserve">внедрение Единого </w:t>
      </w:r>
      <w:r w:rsidR="00551DD6" w:rsidRPr="002C7BCF">
        <w:rPr>
          <w:color w:val="000000" w:themeColor="text1"/>
          <w:szCs w:val="26"/>
        </w:rPr>
        <w:t>план</w:t>
      </w:r>
      <w:r w:rsidR="00564428" w:rsidRPr="002C7BCF">
        <w:rPr>
          <w:color w:val="000000" w:themeColor="text1"/>
          <w:szCs w:val="26"/>
        </w:rPr>
        <w:t>а</w:t>
      </w:r>
      <w:r w:rsidR="00551DD6" w:rsidRPr="002C7BCF">
        <w:rPr>
          <w:color w:val="000000" w:themeColor="text1"/>
          <w:szCs w:val="26"/>
        </w:rPr>
        <w:t xml:space="preserve"> счетов </w:t>
      </w:r>
      <w:r w:rsidR="007836AE" w:rsidRPr="002C7BCF">
        <w:rPr>
          <w:color w:val="000000" w:themeColor="text1"/>
          <w:szCs w:val="26"/>
        </w:rPr>
        <w:t xml:space="preserve">(ЕПС), </w:t>
      </w:r>
      <w:r w:rsidR="00564428" w:rsidRPr="002C7BCF">
        <w:rPr>
          <w:color w:val="000000" w:themeColor="text1"/>
          <w:szCs w:val="26"/>
        </w:rPr>
        <w:t xml:space="preserve">новых отраслевых стандартов </w:t>
      </w:r>
      <w:r w:rsidR="007836AE" w:rsidRPr="002C7BCF">
        <w:rPr>
          <w:color w:val="000000" w:themeColor="text1"/>
          <w:szCs w:val="26"/>
        </w:rPr>
        <w:t xml:space="preserve">учета </w:t>
      </w:r>
      <w:r w:rsidR="006E560E" w:rsidRPr="002C7BCF">
        <w:rPr>
          <w:color w:val="000000" w:themeColor="text1"/>
          <w:szCs w:val="26"/>
        </w:rPr>
        <w:t xml:space="preserve">и </w:t>
      </w:r>
      <w:r w:rsidR="00564428" w:rsidRPr="002C7BCF">
        <w:rPr>
          <w:color w:val="000000" w:themeColor="text1"/>
          <w:szCs w:val="26"/>
        </w:rPr>
        <w:t xml:space="preserve">Международных стандартов </w:t>
      </w:r>
      <w:r w:rsidR="007836AE" w:rsidRPr="002C7BCF">
        <w:rPr>
          <w:color w:val="000000" w:themeColor="text1"/>
          <w:szCs w:val="26"/>
        </w:rPr>
        <w:t>финансовой отчётности (</w:t>
      </w:r>
      <w:r w:rsidR="006E560E" w:rsidRPr="002C7BCF">
        <w:rPr>
          <w:color w:val="000000" w:themeColor="text1"/>
          <w:szCs w:val="26"/>
        </w:rPr>
        <w:t>МСФО</w:t>
      </w:r>
      <w:r w:rsidR="007836AE" w:rsidRPr="002C7BCF">
        <w:rPr>
          <w:color w:val="000000" w:themeColor="text1"/>
          <w:szCs w:val="26"/>
        </w:rPr>
        <w:t>)</w:t>
      </w:r>
      <w:r w:rsidR="006E560E" w:rsidRPr="002C7BCF">
        <w:rPr>
          <w:color w:val="000000" w:themeColor="text1"/>
          <w:szCs w:val="26"/>
        </w:rPr>
        <w:t xml:space="preserve">, </w:t>
      </w:r>
      <w:r w:rsidR="00564428" w:rsidRPr="002C7BCF">
        <w:rPr>
          <w:color w:val="000000" w:themeColor="text1"/>
          <w:szCs w:val="26"/>
        </w:rPr>
        <w:t xml:space="preserve">нового </w:t>
      </w:r>
      <w:r w:rsidR="006E560E" w:rsidRPr="002C7BCF">
        <w:rPr>
          <w:color w:val="000000" w:themeColor="text1"/>
          <w:szCs w:val="26"/>
        </w:rPr>
        <w:t>формат</w:t>
      </w:r>
      <w:r w:rsidR="00564428" w:rsidRPr="002C7BCF">
        <w:rPr>
          <w:color w:val="000000" w:themeColor="text1"/>
          <w:szCs w:val="26"/>
        </w:rPr>
        <w:t>а</w:t>
      </w:r>
      <w:r w:rsidR="006E560E" w:rsidRPr="002C7BCF">
        <w:rPr>
          <w:color w:val="000000" w:themeColor="text1"/>
          <w:szCs w:val="26"/>
        </w:rPr>
        <w:t xml:space="preserve"> отчетности (XBRL) и т.д.</w:t>
      </w:r>
      <w:r w:rsidR="00984CCF" w:rsidRPr="002C7BCF">
        <w:rPr>
          <w:color w:val="000000" w:themeColor="text1"/>
          <w:szCs w:val="26"/>
        </w:rPr>
        <w:t xml:space="preserve"> </w:t>
      </w:r>
      <w:proofErr w:type="gramStart"/>
      <w:r w:rsidR="006D5357" w:rsidRPr="002C7BCF">
        <w:rPr>
          <w:color w:val="000000" w:themeColor="text1"/>
          <w:szCs w:val="26"/>
        </w:rPr>
        <w:t>И</w:t>
      </w:r>
      <w:proofErr w:type="gramEnd"/>
      <w:r w:rsidR="006D5357" w:rsidRPr="002C7BCF">
        <w:rPr>
          <w:color w:val="000000" w:themeColor="text1"/>
          <w:szCs w:val="26"/>
        </w:rPr>
        <w:t xml:space="preserve"> несомненно фонды пойдут по этому пути рука об руку со специализированными депозитариями. Как показывает практика, наличие надежного профессионального депозитария имеет огромное положительное значение для эффективного функционирования негосударственного пенсионного фонда, особенно если речь идет о крупном фонде.</w:t>
      </w:r>
    </w:p>
    <w:p w14:paraId="34975E7A" w14:textId="54402E96" w:rsidR="006E011C" w:rsidRPr="002C7BCF" w:rsidRDefault="00F94642" w:rsidP="002C7BCF">
      <w:pPr>
        <w:pStyle w:val="2"/>
        <w:rPr>
          <w:color w:val="000000" w:themeColor="text1"/>
          <w:szCs w:val="26"/>
        </w:rPr>
      </w:pPr>
      <w:r w:rsidRPr="002C7BCF">
        <w:rPr>
          <w:color w:val="000000" w:themeColor="text1"/>
          <w:szCs w:val="26"/>
        </w:rPr>
        <w:lastRenderedPageBreak/>
        <w:t>Испол</w:t>
      </w:r>
      <w:r w:rsidR="000965F1" w:rsidRPr="002C7BCF">
        <w:rPr>
          <w:color w:val="000000" w:themeColor="text1"/>
          <w:szCs w:val="26"/>
        </w:rPr>
        <w:t>ьзуя новейшие технологии и нако</w:t>
      </w:r>
      <w:r w:rsidRPr="002C7BCF">
        <w:rPr>
          <w:color w:val="000000" w:themeColor="text1"/>
          <w:szCs w:val="26"/>
        </w:rPr>
        <w:t>пленный о</w:t>
      </w:r>
      <w:r w:rsidR="000965F1" w:rsidRPr="002C7BCF">
        <w:rPr>
          <w:color w:val="000000" w:themeColor="text1"/>
          <w:szCs w:val="26"/>
        </w:rPr>
        <w:t xml:space="preserve">пыт, </w:t>
      </w:r>
      <w:r w:rsidR="0037753A" w:rsidRPr="002C7BCF">
        <w:rPr>
          <w:color w:val="000000" w:themeColor="text1"/>
          <w:szCs w:val="26"/>
        </w:rPr>
        <w:t xml:space="preserve">ООО «СДК «Гарант» </w:t>
      </w:r>
      <w:r w:rsidR="00DF45A9" w:rsidRPr="002C7BCF">
        <w:rPr>
          <w:color w:val="000000" w:themeColor="text1"/>
          <w:szCs w:val="26"/>
        </w:rPr>
        <w:t xml:space="preserve">соответствует </w:t>
      </w:r>
      <w:r w:rsidR="0037753A" w:rsidRPr="002C7BCF">
        <w:rPr>
          <w:color w:val="000000" w:themeColor="text1"/>
          <w:szCs w:val="26"/>
        </w:rPr>
        <w:t xml:space="preserve">возрастающим требованиям и </w:t>
      </w:r>
      <w:r w:rsidR="00DF45A9" w:rsidRPr="002C7BCF">
        <w:rPr>
          <w:color w:val="000000" w:themeColor="text1"/>
          <w:szCs w:val="26"/>
        </w:rPr>
        <w:t xml:space="preserve">решает </w:t>
      </w:r>
      <w:r w:rsidR="0037753A" w:rsidRPr="002C7BCF">
        <w:rPr>
          <w:color w:val="000000" w:themeColor="text1"/>
          <w:szCs w:val="26"/>
        </w:rPr>
        <w:t xml:space="preserve">все более масштабные задачи, </w:t>
      </w:r>
      <w:r w:rsidR="00DF45A9" w:rsidRPr="002C7BCF">
        <w:rPr>
          <w:color w:val="000000" w:themeColor="text1"/>
          <w:szCs w:val="26"/>
        </w:rPr>
        <w:t xml:space="preserve">создает </w:t>
      </w:r>
      <w:r w:rsidR="000965F1" w:rsidRPr="002C7BCF">
        <w:rPr>
          <w:color w:val="000000" w:themeColor="text1"/>
          <w:szCs w:val="26"/>
        </w:rPr>
        <w:t>максимально бла</w:t>
      </w:r>
      <w:r w:rsidRPr="002C7BCF">
        <w:rPr>
          <w:color w:val="000000" w:themeColor="text1"/>
          <w:szCs w:val="26"/>
        </w:rPr>
        <w:t>гоприятные условия для эффективной работы</w:t>
      </w:r>
      <w:r w:rsidR="000965F1" w:rsidRPr="002C7BCF">
        <w:rPr>
          <w:color w:val="000000" w:themeColor="text1"/>
          <w:szCs w:val="26"/>
        </w:rPr>
        <w:t xml:space="preserve"> </w:t>
      </w:r>
      <w:r w:rsidR="00CF0961" w:rsidRPr="002C7BCF">
        <w:rPr>
          <w:color w:val="000000" w:themeColor="text1"/>
          <w:szCs w:val="26"/>
        </w:rPr>
        <w:t>негосударственных пенсионных фондов</w:t>
      </w:r>
      <w:r w:rsidRPr="002C7BCF">
        <w:rPr>
          <w:color w:val="000000" w:themeColor="text1"/>
          <w:szCs w:val="26"/>
        </w:rPr>
        <w:t>, уп</w:t>
      </w:r>
      <w:r w:rsidR="000965F1" w:rsidRPr="002C7BCF">
        <w:rPr>
          <w:color w:val="000000" w:themeColor="text1"/>
          <w:szCs w:val="26"/>
        </w:rPr>
        <w:t>равляющих компаний, юридиче</w:t>
      </w:r>
      <w:r w:rsidRPr="002C7BCF">
        <w:rPr>
          <w:color w:val="000000" w:themeColor="text1"/>
          <w:szCs w:val="26"/>
        </w:rPr>
        <w:t>ских и физических лиц.</w:t>
      </w:r>
      <w:r w:rsidR="000965F1" w:rsidRPr="002C7BCF">
        <w:rPr>
          <w:color w:val="000000" w:themeColor="text1"/>
          <w:szCs w:val="26"/>
        </w:rPr>
        <w:t xml:space="preserve"> </w:t>
      </w:r>
      <w:r w:rsidRPr="002C7BCF">
        <w:rPr>
          <w:color w:val="000000" w:themeColor="text1"/>
          <w:szCs w:val="26"/>
        </w:rPr>
        <w:t>Высокое качество обслуживания, надежное</w:t>
      </w:r>
      <w:r w:rsidR="000965F1" w:rsidRPr="002C7BCF">
        <w:rPr>
          <w:color w:val="000000" w:themeColor="text1"/>
          <w:szCs w:val="26"/>
        </w:rPr>
        <w:t xml:space="preserve"> </w:t>
      </w:r>
      <w:r w:rsidRPr="002C7BCF">
        <w:rPr>
          <w:color w:val="000000" w:themeColor="text1"/>
          <w:szCs w:val="26"/>
        </w:rPr>
        <w:t>хранение и учет активов клиентов – главные</w:t>
      </w:r>
      <w:r w:rsidR="000965F1" w:rsidRPr="002C7BCF">
        <w:rPr>
          <w:color w:val="000000" w:themeColor="text1"/>
          <w:szCs w:val="26"/>
        </w:rPr>
        <w:t xml:space="preserve"> </w:t>
      </w:r>
      <w:r w:rsidRPr="002C7BCF">
        <w:rPr>
          <w:color w:val="000000" w:themeColor="text1"/>
          <w:szCs w:val="26"/>
        </w:rPr>
        <w:t>приоритеты в работе компании.</w:t>
      </w:r>
      <w:r w:rsidR="000965F1" w:rsidRPr="002C7BCF">
        <w:rPr>
          <w:color w:val="000000" w:themeColor="text1"/>
          <w:szCs w:val="26"/>
        </w:rPr>
        <w:t xml:space="preserve"> </w:t>
      </w:r>
      <w:r w:rsidR="00DF45A9" w:rsidRPr="002C7BCF">
        <w:rPr>
          <w:color w:val="000000" w:themeColor="text1"/>
          <w:szCs w:val="26"/>
        </w:rPr>
        <w:t xml:space="preserve">Мы формируем высокотехнологичную и надежную инфраструктуру рынка коллективных инвестиций в </w:t>
      </w:r>
      <w:r w:rsidR="00E77AA0" w:rsidRPr="002C7BCF">
        <w:rPr>
          <w:color w:val="000000" w:themeColor="text1"/>
          <w:szCs w:val="26"/>
        </w:rPr>
        <w:t xml:space="preserve">России. </w:t>
      </w:r>
    </w:p>
    <w:bookmarkEnd w:id="0"/>
    <w:p w14:paraId="2E10429E" w14:textId="77777777" w:rsidR="006E011C" w:rsidRDefault="006E011C" w:rsidP="00564428">
      <w:pPr>
        <w:shd w:val="clear" w:color="auto" w:fill="FFFFFF"/>
        <w:spacing w:before="120" w:after="0" w:line="240" w:lineRule="auto"/>
        <w:jc w:val="both"/>
        <w:textAlignment w:val="baseline"/>
        <w:rPr>
          <w:rFonts w:ascii="Arial" w:hAnsi="Arial" w:cs="Arial"/>
          <w:color w:val="000000" w:themeColor="text1"/>
        </w:rPr>
      </w:pPr>
    </w:p>
    <w:sectPr w:rsidR="006E011C" w:rsidSect="00340E27">
      <w:footerReference w:type="defaul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ACB1" w14:textId="77777777" w:rsidR="00906703" w:rsidRDefault="00906703" w:rsidP="006E63F7">
      <w:pPr>
        <w:spacing w:after="0" w:line="240" w:lineRule="auto"/>
      </w:pPr>
      <w:r>
        <w:separator/>
      </w:r>
    </w:p>
  </w:endnote>
  <w:endnote w:type="continuationSeparator" w:id="0">
    <w:p w14:paraId="44237AC0" w14:textId="77777777" w:rsidR="00906703" w:rsidRDefault="00906703" w:rsidP="006E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8DC2" w14:textId="77777777" w:rsidR="006E63F7" w:rsidRPr="006E63F7" w:rsidRDefault="006E63F7" w:rsidP="006E63F7">
    <w:pPr>
      <w:jc w:val="right"/>
      <w:rPr>
        <w:rFonts w:ascii="Arial" w:hAnsi="Arial" w:cs="Arial"/>
        <w:i/>
        <w:sz w:val="16"/>
        <w:szCs w:val="16"/>
      </w:rPr>
    </w:pPr>
    <w:r w:rsidRPr="006E63F7">
      <w:rPr>
        <w:rFonts w:ascii="Arial" w:hAnsi="Arial" w:cs="Arial"/>
        <w:i/>
        <w:sz w:val="16"/>
        <w:szCs w:val="16"/>
      </w:rPr>
      <w:t xml:space="preserve">Страница </w:t>
    </w:r>
    <w:r w:rsidRPr="006E63F7">
      <w:rPr>
        <w:rFonts w:ascii="Arial" w:hAnsi="Arial" w:cs="Arial"/>
        <w:i/>
        <w:sz w:val="16"/>
        <w:szCs w:val="16"/>
      </w:rPr>
      <w:fldChar w:fldCharType="begin"/>
    </w:r>
    <w:r w:rsidRPr="006E63F7">
      <w:rPr>
        <w:rFonts w:ascii="Arial" w:hAnsi="Arial" w:cs="Arial"/>
        <w:i/>
        <w:sz w:val="16"/>
        <w:szCs w:val="16"/>
      </w:rPr>
      <w:instrText>PAGE   \* MERGEFORMAT</w:instrText>
    </w:r>
    <w:r w:rsidRPr="006E63F7">
      <w:rPr>
        <w:rFonts w:ascii="Arial" w:hAnsi="Arial" w:cs="Arial"/>
        <w:i/>
        <w:sz w:val="16"/>
        <w:szCs w:val="16"/>
      </w:rPr>
      <w:fldChar w:fldCharType="separate"/>
    </w:r>
    <w:r w:rsidR="002C7BCF">
      <w:rPr>
        <w:rFonts w:ascii="Arial" w:hAnsi="Arial" w:cs="Arial"/>
        <w:i/>
        <w:noProof/>
        <w:sz w:val="16"/>
        <w:szCs w:val="16"/>
      </w:rPr>
      <w:t>8</w:t>
    </w:r>
    <w:r w:rsidRPr="006E63F7">
      <w:rPr>
        <w:rFonts w:ascii="Arial" w:hAnsi="Arial" w:cs="Arial"/>
        <w:i/>
        <w:sz w:val="16"/>
        <w:szCs w:val="16"/>
      </w:rPr>
      <w:fldChar w:fldCharType="end"/>
    </w:r>
    <w:r w:rsidRPr="006E63F7">
      <w:rPr>
        <w:rFonts w:ascii="Arial" w:hAnsi="Arial" w:cs="Arial"/>
        <w:i/>
        <w:sz w:val="16"/>
        <w:szCs w:val="16"/>
      </w:rPr>
      <w:t xml:space="preserve"> из </w:t>
    </w:r>
    <w:r w:rsidRPr="006E63F7">
      <w:rPr>
        <w:rFonts w:ascii="Arial" w:hAnsi="Arial" w:cs="Arial"/>
        <w:i/>
        <w:sz w:val="16"/>
        <w:szCs w:val="16"/>
      </w:rPr>
      <w:fldChar w:fldCharType="begin"/>
    </w:r>
    <w:r w:rsidRPr="006E63F7">
      <w:rPr>
        <w:rFonts w:ascii="Arial" w:hAnsi="Arial" w:cs="Arial"/>
        <w:i/>
        <w:sz w:val="16"/>
        <w:szCs w:val="16"/>
      </w:rPr>
      <w:instrText>NUMPAGES  \* Arabic  \* MERGEFORMAT</w:instrText>
    </w:r>
    <w:r w:rsidRPr="006E63F7">
      <w:rPr>
        <w:rFonts w:ascii="Arial" w:hAnsi="Arial" w:cs="Arial"/>
        <w:i/>
        <w:sz w:val="16"/>
        <w:szCs w:val="16"/>
      </w:rPr>
      <w:fldChar w:fldCharType="separate"/>
    </w:r>
    <w:r w:rsidR="002C7BCF">
      <w:rPr>
        <w:rFonts w:ascii="Arial" w:hAnsi="Arial" w:cs="Arial"/>
        <w:i/>
        <w:noProof/>
        <w:sz w:val="16"/>
        <w:szCs w:val="16"/>
      </w:rPr>
      <w:t>8</w:t>
    </w:r>
    <w:r w:rsidRPr="006E63F7">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C04B" w14:textId="77777777" w:rsidR="00906703" w:rsidRDefault="00906703" w:rsidP="006E63F7">
      <w:pPr>
        <w:spacing w:after="0" w:line="240" w:lineRule="auto"/>
      </w:pPr>
      <w:r>
        <w:separator/>
      </w:r>
    </w:p>
  </w:footnote>
  <w:footnote w:type="continuationSeparator" w:id="0">
    <w:p w14:paraId="4D9B1763" w14:textId="77777777" w:rsidR="00906703" w:rsidRDefault="00906703" w:rsidP="006E6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84B"/>
    <w:multiLevelType w:val="hybridMultilevel"/>
    <w:tmpl w:val="957050D2"/>
    <w:lvl w:ilvl="0" w:tplc="35AA2E7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4201D"/>
    <w:multiLevelType w:val="multilevel"/>
    <w:tmpl w:val="4010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43704"/>
    <w:multiLevelType w:val="hybridMultilevel"/>
    <w:tmpl w:val="D5B05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D65EFA"/>
    <w:multiLevelType w:val="multilevel"/>
    <w:tmpl w:val="D670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17A94"/>
    <w:multiLevelType w:val="hybridMultilevel"/>
    <w:tmpl w:val="A640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A3F14"/>
    <w:multiLevelType w:val="multilevel"/>
    <w:tmpl w:val="589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B508A"/>
    <w:multiLevelType w:val="multilevel"/>
    <w:tmpl w:val="F2CE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E0EF8"/>
    <w:multiLevelType w:val="hybridMultilevel"/>
    <w:tmpl w:val="E63AC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F84FF2"/>
    <w:multiLevelType w:val="hybridMultilevel"/>
    <w:tmpl w:val="253E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7B"/>
    <w:rsid w:val="00021C13"/>
    <w:rsid w:val="00021C6C"/>
    <w:rsid w:val="00023CE1"/>
    <w:rsid w:val="00030AE2"/>
    <w:rsid w:val="00031BBF"/>
    <w:rsid w:val="00035FD4"/>
    <w:rsid w:val="00042045"/>
    <w:rsid w:val="000642CF"/>
    <w:rsid w:val="00067831"/>
    <w:rsid w:val="000773BF"/>
    <w:rsid w:val="0008247B"/>
    <w:rsid w:val="00087B9F"/>
    <w:rsid w:val="000965F1"/>
    <w:rsid w:val="00097A30"/>
    <w:rsid w:val="000A19C4"/>
    <w:rsid w:val="000B51AB"/>
    <w:rsid w:val="000D5B54"/>
    <w:rsid w:val="000D5F80"/>
    <w:rsid w:val="000E10C9"/>
    <w:rsid w:val="000F682F"/>
    <w:rsid w:val="00102B9E"/>
    <w:rsid w:val="00102CA5"/>
    <w:rsid w:val="00103006"/>
    <w:rsid w:val="0010391E"/>
    <w:rsid w:val="0010571D"/>
    <w:rsid w:val="001058AB"/>
    <w:rsid w:val="001167BE"/>
    <w:rsid w:val="0012670C"/>
    <w:rsid w:val="00133FD2"/>
    <w:rsid w:val="001340F5"/>
    <w:rsid w:val="00137C19"/>
    <w:rsid w:val="00142621"/>
    <w:rsid w:val="00145D84"/>
    <w:rsid w:val="00152B06"/>
    <w:rsid w:val="00153E40"/>
    <w:rsid w:val="0016267E"/>
    <w:rsid w:val="00162B5A"/>
    <w:rsid w:val="00162C17"/>
    <w:rsid w:val="00164745"/>
    <w:rsid w:val="00164FCC"/>
    <w:rsid w:val="00174277"/>
    <w:rsid w:val="001B0B7C"/>
    <w:rsid w:val="001B2071"/>
    <w:rsid w:val="001C433F"/>
    <w:rsid w:val="001C53C2"/>
    <w:rsid w:val="001C5719"/>
    <w:rsid w:val="001D683D"/>
    <w:rsid w:val="001E0471"/>
    <w:rsid w:val="001E4018"/>
    <w:rsid w:val="001F402A"/>
    <w:rsid w:val="001F6465"/>
    <w:rsid w:val="00202EC1"/>
    <w:rsid w:val="002040CF"/>
    <w:rsid w:val="00210F71"/>
    <w:rsid w:val="00212E2B"/>
    <w:rsid w:val="002137B5"/>
    <w:rsid w:val="00213E13"/>
    <w:rsid w:val="00214927"/>
    <w:rsid w:val="0022019C"/>
    <w:rsid w:val="00231C1D"/>
    <w:rsid w:val="002361B9"/>
    <w:rsid w:val="00256578"/>
    <w:rsid w:val="00262882"/>
    <w:rsid w:val="00262EDC"/>
    <w:rsid w:val="002717DA"/>
    <w:rsid w:val="00273BCF"/>
    <w:rsid w:val="00275403"/>
    <w:rsid w:val="0028111C"/>
    <w:rsid w:val="002823CC"/>
    <w:rsid w:val="0029147A"/>
    <w:rsid w:val="002A3407"/>
    <w:rsid w:val="002B7A17"/>
    <w:rsid w:val="002B7AA3"/>
    <w:rsid w:val="002C72F7"/>
    <w:rsid w:val="002C7BCF"/>
    <w:rsid w:val="002D02D4"/>
    <w:rsid w:val="002E208B"/>
    <w:rsid w:val="002E4BB6"/>
    <w:rsid w:val="002F2468"/>
    <w:rsid w:val="002F2935"/>
    <w:rsid w:val="002F7A47"/>
    <w:rsid w:val="003002A8"/>
    <w:rsid w:val="00301A8D"/>
    <w:rsid w:val="0030403F"/>
    <w:rsid w:val="00304747"/>
    <w:rsid w:val="00310C6E"/>
    <w:rsid w:val="003339AA"/>
    <w:rsid w:val="00340E27"/>
    <w:rsid w:val="00342A82"/>
    <w:rsid w:val="003449FE"/>
    <w:rsid w:val="00354026"/>
    <w:rsid w:val="0035451B"/>
    <w:rsid w:val="003648D5"/>
    <w:rsid w:val="00374E79"/>
    <w:rsid w:val="0037753A"/>
    <w:rsid w:val="003812FE"/>
    <w:rsid w:val="0038315E"/>
    <w:rsid w:val="003905AB"/>
    <w:rsid w:val="003A6A47"/>
    <w:rsid w:val="003B36C1"/>
    <w:rsid w:val="003B65C2"/>
    <w:rsid w:val="003C7BCB"/>
    <w:rsid w:val="003D07BE"/>
    <w:rsid w:val="003D6809"/>
    <w:rsid w:val="003E63F4"/>
    <w:rsid w:val="003E7E80"/>
    <w:rsid w:val="003F1579"/>
    <w:rsid w:val="00401EAF"/>
    <w:rsid w:val="0040240B"/>
    <w:rsid w:val="00403B95"/>
    <w:rsid w:val="00405186"/>
    <w:rsid w:val="0040616B"/>
    <w:rsid w:val="0040766A"/>
    <w:rsid w:val="00410AC3"/>
    <w:rsid w:val="00412F82"/>
    <w:rsid w:val="004158CD"/>
    <w:rsid w:val="00416E57"/>
    <w:rsid w:val="00420C46"/>
    <w:rsid w:val="00422F47"/>
    <w:rsid w:val="004449F0"/>
    <w:rsid w:val="0045384E"/>
    <w:rsid w:val="00457069"/>
    <w:rsid w:val="0045774E"/>
    <w:rsid w:val="00460ACC"/>
    <w:rsid w:val="00465452"/>
    <w:rsid w:val="00474275"/>
    <w:rsid w:val="00477031"/>
    <w:rsid w:val="00480FDE"/>
    <w:rsid w:val="00484338"/>
    <w:rsid w:val="00486309"/>
    <w:rsid w:val="00492B7C"/>
    <w:rsid w:val="0049740D"/>
    <w:rsid w:val="004A305E"/>
    <w:rsid w:val="004A4ED7"/>
    <w:rsid w:val="004B1366"/>
    <w:rsid w:val="004B453D"/>
    <w:rsid w:val="004C08BA"/>
    <w:rsid w:val="004C2DFE"/>
    <w:rsid w:val="004D2C04"/>
    <w:rsid w:val="004D4EE7"/>
    <w:rsid w:val="004E2E58"/>
    <w:rsid w:val="004E77AF"/>
    <w:rsid w:val="004E7A2F"/>
    <w:rsid w:val="004F0F1C"/>
    <w:rsid w:val="004F1A3F"/>
    <w:rsid w:val="00506BAD"/>
    <w:rsid w:val="005101FB"/>
    <w:rsid w:val="0051408A"/>
    <w:rsid w:val="005215ED"/>
    <w:rsid w:val="0052172D"/>
    <w:rsid w:val="00532C34"/>
    <w:rsid w:val="0053663F"/>
    <w:rsid w:val="005456D0"/>
    <w:rsid w:val="00545F4C"/>
    <w:rsid w:val="00551DD6"/>
    <w:rsid w:val="005545F7"/>
    <w:rsid w:val="005579CA"/>
    <w:rsid w:val="0056441D"/>
    <w:rsid w:val="00564428"/>
    <w:rsid w:val="00564789"/>
    <w:rsid w:val="00571AE7"/>
    <w:rsid w:val="00573EFD"/>
    <w:rsid w:val="005810A6"/>
    <w:rsid w:val="00583CBC"/>
    <w:rsid w:val="00593688"/>
    <w:rsid w:val="00597E26"/>
    <w:rsid w:val="005A3613"/>
    <w:rsid w:val="005B2F2D"/>
    <w:rsid w:val="005C582A"/>
    <w:rsid w:val="005C7766"/>
    <w:rsid w:val="005E3A87"/>
    <w:rsid w:val="005F1B33"/>
    <w:rsid w:val="005F21ED"/>
    <w:rsid w:val="006007F6"/>
    <w:rsid w:val="00617444"/>
    <w:rsid w:val="00626A80"/>
    <w:rsid w:val="00631AFD"/>
    <w:rsid w:val="006341B5"/>
    <w:rsid w:val="006369DD"/>
    <w:rsid w:val="00644E8D"/>
    <w:rsid w:val="0065737B"/>
    <w:rsid w:val="00664451"/>
    <w:rsid w:val="0066464E"/>
    <w:rsid w:val="00672C67"/>
    <w:rsid w:val="00673981"/>
    <w:rsid w:val="00683B95"/>
    <w:rsid w:val="00691909"/>
    <w:rsid w:val="00692D3B"/>
    <w:rsid w:val="00695551"/>
    <w:rsid w:val="006A1505"/>
    <w:rsid w:val="006A2E75"/>
    <w:rsid w:val="006C7BD3"/>
    <w:rsid w:val="006D30FB"/>
    <w:rsid w:val="006D506C"/>
    <w:rsid w:val="006D5357"/>
    <w:rsid w:val="006D771D"/>
    <w:rsid w:val="006E011C"/>
    <w:rsid w:val="006E3CDB"/>
    <w:rsid w:val="006E560E"/>
    <w:rsid w:val="006E63F7"/>
    <w:rsid w:val="006F5472"/>
    <w:rsid w:val="00700338"/>
    <w:rsid w:val="00702B4A"/>
    <w:rsid w:val="00703AB7"/>
    <w:rsid w:val="00705234"/>
    <w:rsid w:val="00711161"/>
    <w:rsid w:val="0071183F"/>
    <w:rsid w:val="007141BB"/>
    <w:rsid w:val="007237AA"/>
    <w:rsid w:val="00731B02"/>
    <w:rsid w:val="00736276"/>
    <w:rsid w:val="0074691D"/>
    <w:rsid w:val="00746D66"/>
    <w:rsid w:val="00753751"/>
    <w:rsid w:val="007657F6"/>
    <w:rsid w:val="00772D3E"/>
    <w:rsid w:val="007802FD"/>
    <w:rsid w:val="007836AE"/>
    <w:rsid w:val="007858BF"/>
    <w:rsid w:val="00787244"/>
    <w:rsid w:val="007875BF"/>
    <w:rsid w:val="00796CF5"/>
    <w:rsid w:val="007976EB"/>
    <w:rsid w:val="007B29A5"/>
    <w:rsid w:val="007B3150"/>
    <w:rsid w:val="007C25B7"/>
    <w:rsid w:val="007C4B56"/>
    <w:rsid w:val="007C7D3B"/>
    <w:rsid w:val="007D079E"/>
    <w:rsid w:val="007D702F"/>
    <w:rsid w:val="007E0632"/>
    <w:rsid w:val="007E6B97"/>
    <w:rsid w:val="007F10FB"/>
    <w:rsid w:val="007F5B44"/>
    <w:rsid w:val="007F79B1"/>
    <w:rsid w:val="0080622E"/>
    <w:rsid w:val="00806420"/>
    <w:rsid w:val="00806A6B"/>
    <w:rsid w:val="00817F19"/>
    <w:rsid w:val="00840492"/>
    <w:rsid w:val="008454CF"/>
    <w:rsid w:val="00857438"/>
    <w:rsid w:val="00862972"/>
    <w:rsid w:val="00863A56"/>
    <w:rsid w:val="008641B8"/>
    <w:rsid w:val="0086654B"/>
    <w:rsid w:val="008744B4"/>
    <w:rsid w:val="00876CFD"/>
    <w:rsid w:val="00881077"/>
    <w:rsid w:val="00882A2E"/>
    <w:rsid w:val="0089528A"/>
    <w:rsid w:val="008A1290"/>
    <w:rsid w:val="008A2335"/>
    <w:rsid w:val="008B119F"/>
    <w:rsid w:val="008B22FD"/>
    <w:rsid w:val="008B3869"/>
    <w:rsid w:val="008B6C63"/>
    <w:rsid w:val="009001CE"/>
    <w:rsid w:val="00903360"/>
    <w:rsid w:val="00906703"/>
    <w:rsid w:val="009205E6"/>
    <w:rsid w:val="00925BD5"/>
    <w:rsid w:val="009265E0"/>
    <w:rsid w:val="00935A7F"/>
    <w:rsid w:val="009376F4"/>
    <w:rsid w:val="0094020B"/>
    <w:rsid w:val="0094144C"/>
    <w:rsid w:val="009435A2"/>
    <w:rsid w:val="009446DB"/>
    <w:rsid w:val="00945AFB"/>
    <w:rsid w:val="00946491"/>
    <w:rsid w:val="00946B30"/>
    <w:rsid w:val="00950409"/>
    <w:rsid w:val="0095240A"/>
    <w:rsid w:val="00952EF9"/>
    <w:rsid w:val="00953C29"/>
    <w:rsid w:val="00954FCF"/>
    <w:rsid w:val="009600C4"/>
    <w:rsid w:val="0096124F"/>
    <w:rsid w:val="00962C1B"/>
    <w:rsid w:val="0097169F"/>
    <w:rsid w:val="00980D22"/>
    <w:rsid w:val="00984CCF"/>
    <w:rsid w:val="00993C47"/>
    <w:rsid w:val="009A40AD"/>
    <w:rsid w:val="009B131F"/>
    <w:rsid w:val="009C0990"/>
    <w:rsid w:val="009C5029"/>
    <w:rsid w:val="009D46C4"/>
    <w:rsid w:val="009F0CF1"/>
    <w:rsid w:val="009F70CE"/>
    <w:rsid w:val="00A02CFE"/>
    <w:rsid w:val="00A04372"/>
    <w:rsid w:val="00A2760B"/>
    <w:rsid w:val="00A32B1F"/>
    <w:rsid w:val="00A336B6"/>
    <w:rsid w:val="00A35192"/>
    <w:rsid w:val="00A43156"/>
    <w:rsid w:val="00A5727A"/>
    <w:rsid w:val="00A7706F"/>
    <w:rsid w:val="00A77095"/>
    <w:rsid w:val="00A81C67"/>
    <w:rsid w:val="00A82857"/>
    <w:rsid w:val="00AA1161"/>
    <w:rsid w:val="00AB4F20"/>
    <w:rsid w:val="00AB7EF0"/>
    <w:rsid w:val="00AC1A18"/>
    <w:rsid w:val="00AC2D64"/>
    <w:rsid w:val="00AC75CB"/>
    <w:rsid w:val="00AD0CD6"/>
    <w:rsid w:val="00AE2366"/>
    <w:rsid w:val="00B10724"/>
    <w:rsid w:val="00B10A36"/>
    <w:rsid w:val="00B1649F"/>
    <w:rsid w:val="00B276A3"/>
    <w:rsid w:val="00B368CF"/>
    <w:rsid w:val="00B36929"/>
    <w:rsid w:val="00B466CD"/>
    <w:rsid w:val="00B572CA"/>
    <w:rsid w:val="00B628A8"/>
    <w:rsid w:val="00B6607D"/>
    <w:rsid w:val="00B661D9"/>
    <w:rsid w:val="00B83761"/>
    <w:rsid w:val="00B84A82"/>
    <w:rsid w:val="00BA5B6A"/>
    <w:rsid w:val="00BA79C0"/>
    <w:rsid w:val="00BB1FC1"/>
    <w:rsid w:val="00BB5170"/>
    <w:rsid w:val="00BB71B7"/>
    <w:rsid w:val="00BD4A65"/>
    <w:rsid w:val="00BF18F5"/>
    <w:rsid w:val="00BF3F05"/>
    <w:rsid w:val="00C039F2"/>
    <w:rsid w:val="00C0747B"/>
    <w:rsid w:val="00C10E2C"/>
    <w:rsid w:val="00C11302"/>
    <w:rsid w:val="00C121FA"/>
    <w:rsid w:val="00C12440"/>
    <w:rsid w:val="00C1778F"/>
    <w:rsid w:val="00C26BD4"/>
    <w:rsid w:val="00C30DC5"/>
    <w:rsid w:val="00C41EA3"/>
    <w:rsid w:val="00C501E7"/>
    <w:rsid w:val="00C57669"/>
    <w:rsid w:val="00C62A3C"/>
    <w:rsid w:val="00C6447D"/>
    <w:rsid w:val="00C67060"/>
    <w:rsid w:val="00C760F7"/>
    <w:rsid w:val="00C838FB"/>
    <w:rsid w:val="00C871E2"/>
    <w:rsid w:val="00C90D18"/>
    <w:rsid w:val="00C90FF2"/>
    <w:rsid w:val="00CA2E9D"/>
    <w:rsid w:val="00CA5F16"/>
    <w:rsid w:val="00CB2E9C"/>
    <w:rsid w:val="00CC5802"/>
    <w:rsid w:val="00CD77A2"/>
    <w:rsid w:val="00CE0ABD"/>
    <w:rsid w:val="00CF0961"/>
    <w:rsid w:val="00CF15D5"/>
    <w:rsid w:val="00CF5169"/>
    <w:rsid w:val="00CF5A03"/>
    <w:rsid w:val="00D01C20"/>
    <w:rsid w:val="00D031E1"/>
    <w:rsid w:val="00D119EC"/>
    <w:rsid w:val="00D17F78"/>
    <w:rsid w:val="00D23EE6"/>
    <w:rsid w:val="00D2409D"/>
    <w:rsid w:val="00D31386"/>
    <w:rsid w:val="00D41A5C"/>
    <w:rsid w:val="00D42BA6"/>
    <w:rsid w:val="00D55B8A"/>
    <w:rsid w:val="00D626AC"/>
    <w:rsid w:val="00D62DC0"/>
    <w:rsid w:val="00D7008E"/>
    <w:rsid w:val="00D710EA"/>
    <w:rsid w:val="00D7141C"/>
    <w:rsid w:val="00D74266"/>
    <w:rsid w:val="00D842DF"/>
    <w:rsid w:val="00D873CF"/>
    <w:rsid w:val="00D91C9B"/>
    <w:rsid w:val="00DA76D9"/>
    <w:rsid w:val="00DA7CB0"/>
    <w:rsid w:val="00DB012D"/>
    <w:rsid w:val="00DD5F57"/>
    <w:rsid w:val="00DD6ACB"/>
    <w:rsid w:val="00DD77CA"/>
    <w:rsid w:val="00DF0D32"/>
    <w:rsid w:val="00DF34D6"/>
    <w:rsid w:val="00DF45A9"/>
    <w:rsid w:val="00E02247"/>
    <w:rsid w:val="00E044AF"/>
    <w:rsid w:val="00E14014"/>
    <w:rsid w:val="00E36BE3"/>
    <w:rsid w:val="00E37297"/>
    <w:rsid w:val="00E410C3"/>
    <w:rsid w:val="00E5205C"/>
    <w:rsid w:val="00E5591E"/>
    <w:rsid w:val="00E632F3"/>
    <w:rsid w:val="00E73369"/>
    <w:rsid w:val="00E77AA0"/>
    <w:rsid w:val="00E82A1D"/>
    <w:rsid w:val="00E8421C"/>
    <w:rsid w:val="00E9034C"/>
    <w:rsid w:val="00E909B6"/>
    <w:rsid w:val="00E97E2D"/>
    <w:rsid w:val="00EA5F76"/>
    <w:rsid w:val="00EB1B3B"/>
    <w:rsid w:val="00EB2771"/>
    <w:rsid w:val="00EB33E4"/>
    <w:rsid w:val="00EB47BD"/>
    <w:rsid w:val="00EC7A8E"/>
    <w:rsid w:val="00ED458D"/>
    <w:rsid w:val="00ED4665"/>
    <w:rsid w:val="00EE2180"/>
    <w:rsid w:val="00EE7877"/>
    <w:rsid w:val="00EF03CF"/>
    <w:rsid w:val="00EF217F"/>
    <w:rsid w:val="00EF577D"/>
    <w:rsid w:val="00F05E97"/>
    <w:rsid w:val="00F07C6C"/>
    <w:rsid w:val="00F10D8F"/>
    <w:rsid w:val="00F11FFB"/>
    <w:rsid w:val="00F14386"/>
    <w:rsid w:val="00F14D74"/>
    <w:rsid w:val="00F15571"/>
    <w:rsid w:val="00F2202D"/>
    <w:rsid w:val="00F25729"/>
    <w:rsid w:val="00F32905"/>
    <w:rsid w:val="00F32EE5"/>
    <w:rsid w:val="00F3321B"/>
    <w:rsid w:val="00F35A48"/>
    <w:rsid w:val="00F40B46"/>
    <w:rsid w:val="00F41809"/>
    <w:rsid w:val="00F50723"/>
    <w:rsid w:val="00F5579B"/>
    <w:rsid w:val="00F65D65"/>
    <w:rsid w:val="00F70570"/>
    <w:rsid w:val="00F71088"/>
    <w:rsid w:val="00F94642"/>
    <w:rsid w:val="00F94DF0"/>
    <w:rsid w:val="00F9501E"/>
    <w:rsid w:val="00F96D39"/>
    <w:rsid w:val="00FA580C"/>
    <w:rsid w:val="00FA7060"/>
    <w:rsid w:val="00FB0B92"/>
    <w:rsid w:val="00FC3A63"/>
    <w:rsid w:val="00FC4B39"/>
    <w:rsid w:val="00FD444A"/>
    <w:rsid w:val="00FD5DB3"/>
    <w:rsid w:val="00FE1B32"/>
    <w:rsid w:val="00FF3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648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737B"/>
  </w:style>
  <w:style w:type="character" w:styleId="a3">
    <w:name w:val="Hyperlink"/>
    <w:basedOn w:val="a0"/>
    <w:uiPriority w:val="99"/>
    <w:semiHidden/>
    <w:unhideWhenUsed/>
    <w:rsid w:val="005F1B33"/>
    <w:rPr>
      <w:color w:val="0000FF"/>
      <w:u w:val="single"/>
    </w:rPr>
  </w:style>
  <w:style w:type="character" w:customStyle="1" w:styleId="number">
    <w:name w:val="number"/>
    <w:basedOn w:val="a0"/>
    <w:rsid w:val="005F1B33"/>
  </w:style>
  <w:style w:type="paragraph" w:customStyle="1" w:styleId="b-articletext">
    <w:name w:val="b-article__text"/>
    <w:basedOn w:val="a"/>
    <w:rsid w:val="005F1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5F1B33"/>
  </w:style>
  <w:style w:type="character" w:styleId="a4">
    <w:name w:val="Strong"/>
    <w:basedOn w:val="a0"/>
    <w:uiPriority w:val="22"/>
    <w:qFormat/>
    <w:rsid w:val="00E632F3"/>
    <w:rPr>
      <w:b/>
      <w:bCs/>
    </w:rPr>
  </w:style>
  <w:style w:type="table" w:styleId="a5">
    <w:name w:val="Table Grid"/>
    <w:basedOn w:val="a1"/>
    <w:uiPriority w:val="39"/>
    <w:rsid w:val="00797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8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E63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63F7"/>
  </w:style>
  <w:style w:type="paragraph" w:styleId="a9">
    <w:name w:val="footer"/>
    <w:basedOn w:val="a"/>
    <w:link w:val="aa"/>
    <w:uiPriority w:val="99"/>
    <w:unhideWhenUsed/>
    <w:rsid w:val="006E63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63F7"/>
  </w:style>
  <w:style w:type="paragraph" w:styleId="ab">
    <w:name w:val="Balloon Text"/>
    <w:basedOn w:val="a"/>
    <w:link w:val="ac"/>
    <w:uiPriority w:val="99"/>
    <w:semiHidden/>
    <w:unhideWhenUsed/>
    <w:rsid w:val="00BA79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A79C0"/>
    <w:rPr>
      <w:rFonts w:ascii="Segoe UI" w:hAnsi="Segoe UI" w:cs="Segoe UI"/>
      <w:sz w:val="18"/>
      <w:szCs w:val="18"/>
    </w:rPr>
  </w:style>
  <w:style w:type="paragraph" w:styleId="ad">
    <w:name w:val="List Paragraph"/>
    <w:basedOn w:val="a"/>
    <w:uiPriority w:val="34"/>
    <w:qFormat/>
    <w:rsid w:val="00935A7F"/>
    <w:pPr>
      <w:ind w:left="720"/>
      <w:contextualSpacing/>
    </w:pPr>
  </w:style>
  <w:style w:type="character" w:styleId="ae">
    <w:name w:val="annotation reference"/>
    <w:basedOn w:val="a0"/>
    <w:uiPriority w:val="99"/>
    <w:semiHidden/>
    <w:unhideWhenUsed/>
    <w:rsid w:val="00301A8D"/>
    <w:rPr>
      <w:sz w:val="16"/>
      <w:szCs w:val="16"/>
    </w:rPr>
  </w:style>
  <w:style w:type="paragraph" w:styleId="af">
    <w:name w:val="annotation text"/>
    <w:basedOn w:val="a"/>
    <w:link w:val="af0"/>
    <w:uiPriority w:val="99"/>
    <w:semiHidden/>
    <w:unhideWhenUsed/>
    <w:rsid w:val="00301A8D"/>
    <w:pPr>
      <w:spacing w:line="240" w:lineRule="auto"/>
    </w:pPr>
    <w:rPr>
      <w:sz w:val="20"/>
      <w:szCs w:val="20"/>
    </w:rPr>
  </w:style>
  <w:style w:type="character" w:customStyle="1" w:styleId="af0">
    <w:name w:val="Текст примечания Знак"/>
    <w:basedOn w:val="a0"/>
    <w:link w:val="af"/>
    <w:uiPriority w:val="99"/>
    <w:semiHidden/>
    <w:rsid w:val="00301A8D"/>
    <w:rPr>
      <w:sz w:val="20"/>
      <w:szCs w:val="20"/>
    </w:rPr>
  </w:style>
  <w:style w:type="paragraph" w:styleId="af1">
    <w:name w:val="annotation subject"/>
    <w:basedOn w:val="af"/>
    <w:next w:val="af"/>
    <w:link w:val="af2"/>
    <w:uiPriority w:val="99"/>
    <w:semiHidden/>
    <w:unhideWhenUsed/>
    <w:rsid w:val="00301A8D"/>
    <w:rPr>
      <w:b/>
      <w:bCs/>
    </w:rPr>
  </w:style>
  <w:style w:type="character" w:customStyle="1" w:styleId="af2">
    <w:name w:val="Тема примечания Знак"/>
    <w:basedOn w:val="af0"/>
    <w:link w:val="af1"/>
    <w:uiPriority w:val="99"/>
    <w:semiHidden/>
    <w:rsid w:val="00301A8D"/>
    <w:rPr>
      <w:b/>
      <w:bCs/>
      <w:sz w:val="20"/>
      <w:szCs w:val="20"/>
    </w:rPr>
  </w:style>
  <w:style w:type="paragraph" w:styleId="af3">
    <w:name w:val="Revision"/>
    <w:hidden/>
    <w:uiPriority w:val="99"/>
    <w:semiHidden/>
    <w:rsid w:val="00D7008E"/>
    <w:pPr>
      <w:spacing w:after="0" w:line="240" w:lineRule="auto"/>
    </w:pPr>
  </w:style>
  <w:style w:type="character" w:customStyle="1" w:styleId="40">
    <w:name w:val="Заголовок 4 Знак"/>
    <w:basedOn w:val="a0"/>
    <w:link w:val="4"/>
    <w:uiPriority w:val="9"/>
    <w:rsid w:val="003648D5"/>
    <w:rPr>
      <w:rFonts w:ascii="Times New Roman" w:eastAsia="Times New Roman" w:hAnsi="Times New Roman" w:cs="Times New Roman"/>
      <w:b/>
      <w:bCs/>
      <w:sz w:val="24"/>
      <w:szCs w:val="24"/>
      <w:lang w:eastAsia="ru-RU"/>
    </w:rPr>
  </w:style>
  <w:style w:type="paragraph" w:styleId="af4">
    <w:name w:val="Body Text Indent"/>
    <w:basedOn w:val="a"/>
    <w:link w:val="af5"/>
    <w:rsid w:val="006E3CD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rsid w:val="006E3CDB"/>
    <w:rPr>
      <w:rFonts w:ascii="Times New Roman" w:eastAsia="Times New Roman" w:hAnsi="Times New Roman" w:cs="Times New Roman"/>
      <w:sz w:val="24"/>
      <w:szCs w:val="20"/>
      <w:lang w:eastAsia="ru-RU"/>
    </w:rPr>
  </w:style>
  <w:style w:type="paragraph" w:styleId="2">
    <w:name w:val="Body Text Indent 2"/>
    <w:basedOn w:val="a"/>
    <w:link w:val="20"/>
    <w:rsid w:val="006E3CDB"/>
    <w:pPr>
      <w:spacing w:after="0" w:line="360" w:lineRule="auto"/>
      <w:ind w:firstLine="709"/>
      <w:jc w:val="both"/>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6E3CDB"/>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648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737B"/>
  </w:style>
  <w:style w:type="character" w:styleId="a3">
    <w:name w:val="Hyperlink"/>
    <w:basedOn w:val="a0"/>
    <w:uiPriority w:val="99"/>
    <w:semiHidden/>
    <w:unhideWhenUsed/>
    <w:rsid w:val="005F1B33"/>
    <w:rPr>
      <w:color w:val="0000FF"/>
      <w:u w:val="single"/>
    </w:rPr>
  </w:style>
  <w:style w:type="character" w:customStyle="1" w:styleId="number">
    <w:name w:val="number"/>
    <w:basedOn w:val="a0"/>
    <w:rsid w:val="005F1B33"/>
  </w:style>
  <w:style w:type="paragraph" w:customStyle="1" w:styleId="b-articletext">
    <w:name w:val="b-article__text"/>
    <w:basedOn w:val="a"/>
    <w:rsid w:val="005F1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5F1B33"/>
  </w:style>
  <w:style w:type="character" w:styleId="a4">
    <w:name w:val="Strong"/>
    <w:basedOn w:val="a0"/>
    <w:uiPriority w:val="22"/>
    <w:qFormat/>
    <w:rsid w:val="00E632F3"/>
    <w:rPr>
      <w:b/>
      <w:bCs/>
    </w:rPr>
  </w:style>
  <w:style w:type="table" w:styleId="a5">
    <w:name w:val="Table Grid"/>
    <w:basedOn w:val="a1"/>
    <w:uiPriority w:val="39"/>
    <w:rsid w:val="00797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8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E63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63F7"/>
  </w:style>
  <w:style w:type="paragraph" w:styleId="a9">
    <w:name w:val="footer"/>
    <w:basedOn w:val="a"/>
    <w:link w:val="aa"/>
    <w:uiPriority w:val="99"/>
    <w:unhideWhenUsed/>
    <w:rsid w:val="006E63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63F7"/>
  </w:style>
  <w:style w:type="paragraph" w:styleId="ab">
    <w:name w:val="Balloon Text"/>
    <w:basedOn w:val="a"/>
    <w:link w:val="ac"/>
    <w:uiPriority w:val="99"/>
    <w:semiHidden/>
    <w:unhideWhenUsed/>
    <w:rsid w:val="00BA79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A79C0"/>
    <w:rPr>
      <w:rFonts w:ascii="Segoe UI" w:hAnsi="Segoe UI" w:cs="Segoe UI"/>
      <w:sz w:val="18"/>
      <w:szCs w:val="18"/>
    </w:rPr>
  </w:style>
  <w:style w:type="paragraph" w:styleId="ad">
    <w:name w:val="List Paragraph"/>
    <w:basedOn w:val="a"/>
    <w:uiPriority w:val="34"/>
    <w:qFormat/>
    <w:rsid w:val="00935A7F"/>
    <w:pPr>
      <w:ind w:left="720"/>
      <w:contextualSpacing/>
    </w:pPr>
  </w:style>
  <w:style w:type="character" w:styleId="ae">
    <w:name w:val="annotation reference"/>
    <w:basedOn w:val="a0"/>
    <w:uiPriority w:val="99"/>
    <w:semiHidden/>
    <w:unhideWhenUsed/>
    <w:rsid w:val="00301A8D"/>
    <w:rPr>
      <w:sz w:val="16"/>
      <w:szCs w:val="16"/>
    </w:rPr>
  </w:style>
  <w:style w:type="paragraph" w:styleId="af">
    <w:name w:val="annotation text"/>
    <w:basedOn w:val="a"/>
    <w:link w:val="af0"/>
    <w:uiPriority w:val="99"/>
    <w:semiHidden/>
    <w:unhideWhenUsed/>
    <w:rsid w:val="00301A8D"/>
    <w:pPr>
      <w:spacing w:line="240" w:lineRule="auto"/>
    </w:pPr>
    <w:rPr>
      <w:sz w:val="20"/>
      <w:szCs w:val="20"/>
    </w:rPr>
  </w:style>
  <w:style w:type="character" w:customStyle="1" w:styleId="af0">
    <w:name w:val="Текст примечания Знак"/>
    <w:basedOn w:val="a0"/>
    <w:link w:val="af"/>
    <w:uiPriority w:val="99"/>
    <w:semiHidden/>
    <w:rsid w:val="00301A8D"/>
    <w:rPr>
      <w:sz w:val="20"/>
      <w:szCs w:val="20"/>
    </w:rPr>
  </w:style>
  <w:style w:type="paragraph" w:styleId="af1">
    <w:name w:val="annotation subject"/>
    <w:basedOn w:val="af"/>
    <w:next w:val="af"/>
    <w:link w:val="af2"/>
    <w:uiPriority w:val="99"/>
    <w:semiHidden/>
    <w:unhideWhenUsed/>
    <w:rsid w:val="00301A8D"/>
    <w:rPr>
      <w:b/>
      <w:bCs/>
    </w:rPr>
  </w:style>
  <w:style w:type="character" w:customStyle="1" w:styleId="af2">
    <w:name w:val="Тема примечания Знак"/>
    <w:basedOn w:val="af0"/>
    <w:link w:val="af1"/>
    <w:uiPriority w:val="99"/>
    <w:semiHidden/>
    <w:rsid w:val="00301A8D"/>
    <w:rPr>
      <w:b/>
      <w:bCs/>
      <w:sz w:val="20"/>
      <w:szCs w:val="20"/>
    </w:rPr>
  </w:style>
  <w:style w:type="paragraph" w:styleId="af3">
    <w:name w:val="Revision"/>
    <w:hidden/>
    <w:uiPriority w:val="99"/>
    <w:semiHidden/>
    <w:rsid w:val="00D7008E"/>
    <w:pPr>
      <w:spacing w:after="0" w:line="240" w:lineRule="auto"/>
    </w:pPr>
  </w:style>
  <w:style w:type="character" w:customStyle="1" w:styleId="40">
    <w:name w:val="Заголовок 4 Знак"/>
    <w:basedOn w:val="a0"/>
    <w:link w:val="4"/>
    <w:uiPriority w:val="9"/>
    <w:rsid w:val="003648D5"/>
    <w:rPr>
      <w:rFonts w:ascii="Times New Roman" w:eastAsia="Times New Roman" w:hAnsi="Times New Roman" w:cs="Times New Roman"/>
      <w:b/>
      <w:bCs/>
      <w:sz w:val="24"/>
      <w:szCs w:val="24"/>
      <w:lang w:eastAsia="ru-RU"/>
    </w:rPr>
  </w:style>
  <w:style w:type="paragraph" w:styleId="af4">
    <w:name w:val="Body Text Indent"/>
    <w:basedOn w:val="a"/>
    <w:link w:val="af5"/>
    <w:rsid w:val="006E3CD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rsid w:val="006E3CDB"/>
    <w:rPr>
      <w:rFonts w:ascii="Times New Roman" w:eastAsia="Times New Roman" w:hAnsi="Times New Roman" w:cs="Times New Roman"/>
      <w:sz w:val="24"/>
      <w:szCs w:val="20"/>
      <w:lang w:eastAsia="ru-RU"/>
    </w:rPr>
  </w:style>
  <w:style w:type="paragraph" w:styleId="2">
    <w:name w:val="Body Text Indent 2"/>
    <w:basedOn w:val="a"/>
    <w:link w:val="20"/>
    <w:rsid w:val="006E3CDB"/>
    <w:pPr>
      <w:spacing w:after="0" w:line="360" w:lineRule="auto"/>
      <w:ind w:firstLine="709"/>
      <w:jc w:val="both"/>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6E3CDB"/>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7575">
      <w:bodyDiv w:val="1"/>
      <w:marLeft w:val="0"/>
      <w:marRight w:val="0"/>
      <w:marTop w:val="0"/>
      <w:marBottom w:val="0"/>
      <w:divBdr>
        <w:top w:val="none" w:sz="0" w:space="0" w:color="auto"/>
        <w:left w:val="none" w:sz="0" w:space="0" w:color="auto"/>
        <w:bottom w:val="none" w:sz="0" w:space="0" w:color="auto"/>
        <w:right w:val="none" w:sz="0" w:space="0" w:color="auto"/>
      </w:divBdr>
    </w:div>
    <w:div w:id="120347214">
      <w:bodyDiv w:val="1"/>
      <w:marLeft w:val="0"/>
      <w:marRight w:val="0"/>
      <w:marTop w:val="0"/>
      <w:marBottom w:val="0"/>
      <w:divBdr>
        <w:top w:val="none" w:sz="0" w:space="0" w:color="auto"/>
        <w:left w:val="none" w:sz="0" w:space="0" w:color="auto"/>
        <w:bottom w:val="none" w:sz="0" w:space="0" w:color="auto"/>
        <w:right w:val="none" w:sz="0" w:space="0" w:color="auto"/>
      </w:divBdr>
    </w:div>
    <w:div w:id="131557153">
      <w:bodyDiv w:val="1"/>
      <w:marLeft w:val="0"/>
      <w:marRight w:val="0"/>
      <w:marTop w:val="0"/>
      <w:marBottom w:val="0"/>
      <w:divBdr>
        <w:top w:val="none" w:sz="0" w:space="0" w:color="auto"/>
        <w:left w:val="none" w:sz="0" w:space="0" w:color="auto"/>
        <w:bottom w:val="none" w:sz="0" w:space="0" w:color="auto"/>
        <w:right w:val="none" w:sz="0" w:space="0" w:color="auto"/>
      </w:divBdr>
      <w:divsChild>
        <w:div w:id="2090149048">
          <w:marLeft w:val="0"/>
          <w:marRight w:val="0"/>
          <w:marTop w:val="300"/>
          <w:marBottom w:val="435"/>
          <w:divBdr>
            <w:top w:val="none" w:sz="0" w:space="0" w:color="auto"/>
            <w:left w:val="none" w:sz="0" w:space="0" w:color="auto"/>
            <w:bottom w:val="none" w:sz="0" w:space="0" w:color="auto"/>
            <w:right w:val="none" w:sz="0" w:space="0" w:color="auto"/>
          </w:divBdr>
        </w:div>
        <w:div w:id="1044526748">
          <w:marLeft w:val="0"/>
          <w:marRight w:val="0"/>
          <w:marTop w:val="0"/>
          <w:marBottom w:val="0"/>
          <w:divBdr>
            <w:top w:val="none" w:sz="0" w:space="0" w:color="auto"/>
            <w:left w:val="none" w:sz="0" w:space="0" w:color="auto"/>
            <w:bottom w:val="none" w:sz="0" w:space="0" w:color="auto"/>
            <w:right w:val="none" w:sz="0" w:space="0" w:color="auto"/>
          </w:divBdr>
        </w:div>
      </w:divsChild>
    </w:div>
    <w:div w:id="477460864">
      <w:bodyDiv w:val="1"/>
      <w:marLeft w:val="0"/>
      <w:marRight w:val="0"/>
      <w:marTop w:val="0"/>
      <w:marBottom w:val="0"/>
      <w:divBdr>
        <w:top w:val="none" w:sz="0" w:space="0" w:color="auto"/>
        <w:left w:val="none" w:sz="0" w:space="0" w:color="auto"/>
        <w:bottom w:val="none" w:sz="0" w:space="0" w:color="auto"/>
        <w:right w:val="none" w:sz="0" w:space="0" w:color="auto"/>
      </w:divBdr>
    </w:div>
    <w:div w:id="866869958">
      <w:bodyDiv w:val="1"/>
      <w:marLeft w:val="0"/>
      <w:marRight w:val="0"/>
      <w:marTop w:val="0"/>
      <w:marBottom w:val="0"/>
      <w:divBdr>
        <w:top w:val="none" w:sz="0" w:space="0" w:color="auto"/>
        <w:left w:val="none" w:sz="0" w:space="0" w:color="auto"/>
        <w:bottom w:val="none" w:sz="0" w:space="0" w:color="auto"/>
        <w:right w:val="none" w:sz="0" w:space="0" w:color="auto"/>
      </w:divBdr>
    </w:div>
    <w:div w:id="1082530238">
      <w:bodyDiv w:val="1"/>
      <w:marLeft w:val="0"/>
      <w:marRight w:val="0"/>
      <w:marTop w:val="0"/>
      <w:marBottom w:val="0"/>
      <w:divBdr>
        <w:top w:val="none" w:sz="0" w:space="0" w:color="auto"/>
        <w:left w:val="none" w:sz="0" w:space="0" w:color="auto"/>
        <w:bottom w:val="none" w:sz="0" w:space="0" w:color="auto"/>
        <w:right w:val="none" w:sz="0" w:space="0" w:color="auto"/>
      </w:divBdr>
    </w:div>
    <w:div w:id="1177690316">
      <w:bodyDiv w:val="1"/>
      <w:marLeft w:val="0"/>
      <w:marRight w:val="0"/>
      <w:marTop w:val="0"/>
      <w:marBottom w:val="0"/>
      <w:divBdr>
        <w:top w:val="none" w:sz="0" w:space="0" w:color="auto"/>
        <w:left w:val="none" w:sz="0" w:space="0" w:color="auto"/>
        <w:bottom w:val="none" w:sz="0" w:space="0" w:color="auto"/>
        <w:right w:val="none" w:sz="0" w:space="0" w:color="auto"/>
      </w:divBdr>
    </w:div>
    <w:div w:id="1321277838">
      <w:bodyDiv w:val="1"/>
      <w:marLeft w:val="0"/>
      <w:marRight w:val="0"/>
      <w:marTop w:val="0"/>
      <w:marBottom w:val="0"/>
      <w:divBdr>
        <w:top w:val="none" w:sz="0" w:space="0" w:color="auto"/>
        <w:left w:val="none" w:sz="0" w:space="0" w:color="auto"/>
        <w:bottom w:val="none" w:sz="0" w:space="0" w:color="auto"/>
        <w:right w:val="none" w:sz="0" w:space="0" w:color="auto"/>
      </w:divBdr>
    </w:div>
    <w:div w:id="1347557441">
      <w:bodyDiv w:val="1"/>
      <w:marLeft w:val="0"/>
      <w:marRight w:val="0"/>
      <w:marTop w:val="0"/>
      <w:marBottom w:val="0"/>
      <w:divBdr>
        <w:top w:val="none" w:sz="0" w:space="0" w:color="auto"/>
        <w:left w:val="none" w:sz="0" w:space="0" w:color="auto"/>
        <w:bottom w:val="none" w:sz="0" w:space="0" w:color="auto"/>
        <w:right w:val="none" w:sz="0" w:space="0" w:color="auto"/>
      </w:divBdr>
    </w:div>
    <w:div w:id="1624382097">
      <w:bodyDiv w:val="1"/>
      <w:marLeft w:val="0"/>
      <w:marRight w:val="0"/>
      <w:marTop w:val="0"/>
      <w:marBottom w:val="0"/>
      <w:divBdr>
        <w:top w:val="none" w:sz="0" w:space="0" w:color="auto"/>
        <w:left w:val="none" w:sz="0" w:space="0" w:color="auto"/>
        <w:bottom w:val="none" w:sz="0" w:space="0" w:color="auto"/>
        <w:right w:val="none" w:sz="0" w:space="0" w:color="auto"/>
      </w:divBdr>
    </w:div>
    <w:div w:id="2055495567">
      <w:bodyDiv w:val="1"/>
      <w:marLeft w:val="0"/>
      <w:marRight w:val="0"/>
      <w:marTop w:val="0"/>
      <w:marBottom w:val="0"/>
      <w:divBdr>
        <w:top w:val="none" w:sz="0" w:space="0" w:color="auto"/>
        <w:left w:val="none" w:sz="0" w:space="0" w:color="auto"/>
        <w:bottom w:val="none" w:sz="0" w:space="0" w:color="auto"/>
        <w:right w:val="none" w:sz="0" w:space="0" w:color="auto"/>
      </w:divBdr>
    </w:div>
    <w:div w:id="20693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kgarant.ru/images/docs/sertificate_pif_partad.pdf" TargetMode="External"/><Relationship Id="rId5" Type="http://schemas.openxmlformats.org/officeDocument/2006/relationships/settings" Target="settings.xml"/><Relationship Id="rId10" Type="http://schemas.openxmlformats.org/officeDocument/2006/relationships/hyperlink" Target="http://www.old.partad.ru/awards/itog_2008.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201B-852E-4378-869D-B8273F8E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Берковец Елена Владимировна</dc:creator>
  <cp:lastModifiedBy>Комаров Алексей Константинович</cp:lastModifiedBy>
  <cp:revision>3</cp:revision>
  <cp:lastPrinted>2016-11-14T16:53:00Z</cp:lastPrinted>
  <dcterms:created xsi:type="dcterms:W3CDTF">2016-12-01T08:04:00Z</dcterms:created>
  <dcterms:modified xsi:type="dcterms:W3CDTF">2016-12-12T08:45:00Z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244221422</vt:i4>
  </property>
  <property fmtid="{D5CDD505-2E9C-101B-9397-08002B2CF9AE}" pid="3" name="_NewReviewCycle">
    <vt:lpwstr/>
  </property>
  <property fmtid="{D5CDD505-2E9C-101B-9397-08002B2CF9AE}" pid="4" name="_EmailSubject">
    <vt:lpwstr>Статья Есаулкова Пенсионное обозрение</vt:lpwstr>
  </property>
  <property fmtid="{D5CDD505-2E9C-101B-9397-08002B2CF9AE}" pid="5" name="_AuthorEmail">
    <vt:lpwstr>T.Esaulkova@sdkgarant.ru</vt:lpwstr>
  </property>
  <property fmtid="{D5CDD505-2E9C-101B-9397-08002B2CF9AE}" pid="6" name="_AuthorEmailDisplayName">
    <vt:lpwstr>Есаулкова Татьяна Станиславовна</vt:lpwstr>
  </property>
  <property fmtid="{D5CDD505-2E9C-101B-9397-08002B2CF9AE}" pid="7" name="_PreviousAdHocReviewCycleID">
    <vt:i4>-278617983</vt:i4>
  </property>
  <property fmtid="{D5CDD505-2E9C-101B-9397-08002B2CF9AE}" pid="8" name="_ReviewingToolsShownOnce">
    <vt:lpwstr/>
  </property>
</Properties>
</file>